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AEE9" w14:textId="35574440" w:rsidR="00C1739C" w:rsidRPr="000F6432" w:rsidRDefault="00C1739C" w:rsidP="00B815D8">
      <w:pPr>
        <w:jc w:val="left"/>
        <w:rPr>
          <w:i/>
        </w:rPr>
      </w:pPr>
    </w:p>
    <w:p w14:paraId="482A6F04" w14:textId="77777777" w:rsidR="00C1739C" w:rsidRPr="000F6432" w:rsidRDefault="00C1739C" w:rsidP="00C1739C"/>
    <w:p w14:paraId="1EF1C0E6" w14:textId="77777777" w:rsidR="00C1739C" w:rsidRPr="000F6432" w:rsidRDefault="00C1739C" w:rsidP="00C1739C"/>
    <w:p w14:paraId="0635D4A3" w14:textId="653F5948" w:rsidR="00C1739C" w:rsidRPr="000F6432" w:rsidRDefault="00C1739C" w:rsidP="00C1739C">
      <w:pPr>
        <w:jc w:val="center"/>
        <w:rPr>
          <w:b/>
          <w:sz w:val="44"/>
          <w:szCs w:val="44"/>
          <w:u w:val="single"/>
        </w:rPr>
      </w:pPr>
      <w:r w:rsidRPr="000F6432">
        <w:rPr>
          <w:b/>
          <w:sz w:val="44"/>
          <w:szCs w:val="44"/>
          <w:u w:val="single"/>
        </w:rPr>
        <w:t xml:space="preserve">GUÍA PARA LA </w:t>
      </w:r>
      <w:r w:rsidR="00ED7F57">
        <w:rPr>
          <w:b/>
          <w:sz w:val="44"/>
          <w:szCs w:val="44"/>
          <w:u w:val="single"/>
        </w:rPr>
        <w:t xml:space="preserve">REGULACIÓN </w:t>
      </w:r>
      <w:r w:rsidR="006350DA">
        <w:rPr>
          <w:b/>
          <w:sz w:val="44"/>
          <w:szCs w:val="44"/>
          <w:u w:val="single"/>
        </w:rPr>
        <w:t xml:space="preserve">MUNICIPAL </w:t>
      </w:r>
      <w:r w:rsidR="00ED7F57">
        <w:rPr>
          <w:b/>
          <w:sz w:val="44"/>
          <w:szCs w:val="44"/>
          <w:u w:val="single"/>
        </w:rPr>
        <w:t>CON CRITERIOS DE COMPETENCIA</w:t>
      </w:r>
    </w:p>
    <w:p w14:paraId="0606CB2E" w14:textId="77777777" w:rsidR="00C1739C" w:rsidRDefault="00C1739C" w:rsidP="00C1739C">
      <w:pPr>
        <w:rPr>
          <w:b/>
          <w:sz w:val="48"/>
          <w:szCs w:val="48"/>
        </w:rPr>
      </w:pPr>
    </w:p>
    <w:p w14:paraId="0D47B099" w14:textId="25B57252" w:rsidR="00D056E2" w:rsidRPr="000F6432" w:rsidRDefault="00D056E2" w:rsidP="00C1739C">
      <w:pPr>
        <w:rPr>
          <w:b/>
          <w:sz w:val="48"/>
          <w:szCs w:val="48"/>
        </w:rPr>
      </w:pPr>
      <w:r>
        <w:rPr>
          <w:b/>
          <w:sz w:val="48"/>
          <w:szCs w:val="48"/>
        </w:rPr>
        <w:t>Versión preliminar</w:t>
      </w:r>
    </w:p>
    <w:p w14:paraId="4DAD4A73" w14:textId="77777777" w:rsidR="00C1739C" w:rsidRPr="000F6432" w:rsidRDefault="00C1739C" w:rsidP="00E6130C">
      <w:pPr>
        <w:jc w:val="left"/>
        <w:rPr>
          <w:b/>
          <w:sz w:val="38"/>
          <w:szCs w:val="38"/>
          <w:u w:val="single"/>
        </w:rPr>
      </w:pPr>
      <w:r w:rsidRPr="000F6432">
        <w:rPr>
          <w:b/>
          <w:sz w:val="38"/>
          <w:szCs w:val="38"/>
          <w:u w:val="single"/>
        </w:rPr>
        <w:t>Comisión Nacional de la Competencia (CONACOM)</w:t>
      </w:r>
    </w:p>
    <w:p w14:paraId="0C0DF419" w14:textId="4C69630C" w:rsidR="00C1739C" w:rsidRDefault="00B815D8" w:rsidP="00C1739C">
      <w:pPr>
        <w:rPr>
          <w:b/>
          <w:sz w:val="36"/>
          <w:szCs w:val="36"/>
          <w:lang w:val="es-PY"/>
        </w:rPr>
      </w:pPr>
      <w:r>
        <w:rPr>
          <w:b/>
          <w:sz w:val="36"/>
          <w:szCs w:val="36"/>
          <w:lang w:val="es-PY"/>
        </w:rPr>
        <w:t>Marzo</w:t>
      </w:r>
      <w:r w:rsidR="00D056E2">
        <w:rPr>
          <w:b/>
          <w:sz w:val="36"/>
          <w:szCs w:val="36"/>
          <w:lang w:val="es-PY"/>
        </w:rPr>
        <w:t xml:space="preserve"> </w:t>
      </w:r>
      <w:r w:rsidR="00C1739C" w:rsidRPr="000F6432">
        <w:rPr>
          <w:b/>
          <w:sz w:val="36"/>
          <w:szCs w:val="36"/>
          <w:lang w:val="es-PY"/>
        </w:rPr>
        <w:t>de 202</w:t>
      </w:r>
      <w:r w:rsidR="006350DA">
        <w:rPr>
          <w:b/>
          <w:sz w:val="36"/>
          <w:szCs w:val="36"/>
          <w:lang w:val="es-PY"/>
        </w:rPr>
        <w:t>4</w:t>
      </w:r>
    </w:p>
    <w:p w14:paraId="32E1992C" w14:textId="77777777" w:rsidR="000F6432" w:rsidRPr="000F6432" w:rsidRDefault="000F6432" w:rsidP="00C1739C">
      <w:pPr>
        <w:rPr>
          <w:b/>
          <w:sz w:val="36"/>
          <w:szCs w:val="36"/>
          <w:lang w:val="es-PY"/>
        </w:rPr>
      </w:pPr>
    </w:p>
    <w:p w14:paraId="052B5529" w14:textId="77777777" w:rsidR="000F6432" w:rsidRDefault="000F6432" w:rsidP="00C1739C">
      <w:pPr>
        <w:rPr>
          <w:b/>
          <w:sz w:val="20"/>
          <w:szCs w:val="20"/>
          <w:u w:val="single"/>
          <w:lang w:val="es-PY"/>
        </w:rPr>
      </w:pPr>
    </w:p>
    <w:p w14:paraId="3663101F" w14:textId="29265CD6" w:rsidR="00264B67" w:rsidRPr="00D056E2" w:rsidRDefault="00D056E2" w:rsidP="00C1739C">
      <w:pPr>
        <w:rPr>
          <w:b/>
          <w:sz w:val="20"/>
          <w:szCs w:val="20"/>
          <w:lang w:val="es-PY"/>
        </w:rPr>
      </w:pPr>
      <w:r w:rsidRPr="00D056E2">
        <w:rPr>
          <w:b/>
          <w:sz w:val="20"/>
          <w:szCs w:val="20"/>
          <w:lang w:val="es-PY"/>
        </w:rPr>
        <w:t xml:space="preserve">Versión publicada en el marco de una consulta pública en los términos del artículo 70 del Decreto N° 1490/2014. Este borrador no representa </w:t>
      </w:r>
      <w:r>
        <w:rPr>
          <w:b/>
          <w:sz w:val="20"/>
          <w:szCs w:val="20"/>
          <w:lang w:val="es-PY"/>
        </w:rPr>
        <w:t xml:space="preserve">un eventual </w:t>
      </w:r>
      <w:r w:rsidRPr="00D056E2">
        <w:rPr>
          <w:b/>
          <w:sz w:val="20"/>
          <w:szCs w:val="20"/>
          <w:lang w:val="es-PY"/>
        </w:rPr>
        <w:t xml:space="preserve">pronunciamiento </w:t>
      </w:r>
      <w:r>
        <w:rPr>
          <w:b/>
          <w:sz w:val="20"/>
          <w:szCs w:val="20"/>
          <w:lang w:val="es-PY"/>
        </w:rPr>
        <w:t xml:space="preserve">formal </w:t>
      </w:r>
      <w:r w:rsidRPr="00D056E2">
        <w:rPr>
          <w:b/>
          <w:sz w:val="20"/>
          <w:szCs w:val="20"/>
          <w:lang w:val="es-PY"/>
        </w:rPr>
        <w:t xml:space="preserve">de la CONACOM. </w:t>
      </w:r>
    </w:p>
    <w:p w14:paraId="7BF1C995" w14:textId="1A99A764" w:rsidR="00C1739C" w:rsidRPr="000F6432" w:rsidRDefault="00C1739C">
      <w:pPr>
        <w:spacing w:before="0" w:line="259" w:lineRule="auto"/>
        <w:jc w:val="left"/>
        <w:rPr>
          <w:lang w:val="es-PY"/>
        </w:rPr>
      </w:pPr>
      <w:r w:rsidRPr="000F6432">
        <w:rPr>
          <w:lang w:val="es-PY"/>
        </w:rPr>
        <w:br w:type="page"/>
      </w:r>
    </w:p>
    <w:p w14:paraId="30D334CD" w14:textId="6E4CA1FA" w:rsidR="005B0E9A" w:rsidRPr="001152C4" w:rsidRDefault="005B0E9A" w:rsidP="006E7392">
      <w:pPr>
        <w:jc w:val="center"/>
        <w:rPr>
          <w:b/>
          <w:bCs/>
          <w:sz w:val="22"/>
          <w:u w:val="single"/>
          <w:lang w:val="es-ES_tradnl"/>
        </w:rPr>
      </w:pPr>
      <w:r w:rsidRPr="001152C4">
        <w:rPr>
          <w:b/>
          <w:bCs/>
          <w:sz w:val="22"/>
          <w:u w:val="single"/>
          <w:lang w:val="es-ES_tradnl"/>
        </w:rPr>
        <w:lastRenderedPageBreak/>
        <w:t xml:space="preserve">GUÍA PARA LA </w:t>
      </w:r>
      <w:r w:rsidR="00922C06" w:rsidRPr="001152C4">
        <w:rPr>
          <w:b/>
          <w:bCs/>
          <w:sz w:val="22"/>
          <w:u w:val="single"/>
          <w:lang w:val="es-ES_tradnl"/>
        </w:rPr>
        <w:t xml:space="preserve">REGULACIÓN </w:t>
      </w:r>
      <w:r w:rsidR="006350DA">
        <w:rPr>
          <w:b/>
          <w:bCs/>
          <w:sz w:val="22"/>
          <w:u w:val="single"/>
          <w:lang w:val="es-ES_tradnl"/>
        </w:rPr>
        <w:t xml:space="preserve">MUNICIPAL </w:t>
      </w:r>
      <w:r w:rsidR="00922C06" w:rsidRPr="001152C4">
        <w:rPr>
          <w:b/>
          <w:bCs/>
          <w:sz w:val="22"/>
          <w:u w:val="single"/>
          <w:lang w:val="es-ES_tradnl"/>
        </w:rPr>
        <w:t>CON CRITERIOS DE</w:t>
      </w:r>
      <w:r w:rsidR="006E7392" w:rsidRPr="001152C4">
        <w:rPr>
          <w:b/>
          <w:bCs/>
          <w:sz w:val="22"/>
          <w:u w:val="single"/>
          <w:lang w:val="es-ES_tradnl"/>
        </w:rPr>
        <w:t xml:space="preserve"> COMPETENCIA</w:t>
      </w:r>
    </w:p>
    <w:p w14:paraId="76A84EC1" w14:textId="60A03B0B" w:rsidR="00922C06" w:rsidRPr="001152C4" w:rsidRDefault="00922C06" w:rsidP="006E7392">
      <w:pPr>
        <w:jc w:val="center"/>
        <w:rPr>
          <w:b/>
          <w:bCs/>
          <w:sz w:val="22"/>
          <w:u w:val="single"/>
          <w:lang w:val="es-ES_tradnl"/>
        </w:rPr>
      </w:pPr>
      <w:r w:rsidRPr="001152C4">
        <w:rPr>
          <w:b/>
          <w:bCs/>
          <w:sz w:val="22"/>
          <w:u w:val="single"/>
          <w:lang w:val="es-ES_tradnl"/>
        </w:rPr>
        <w:t>ÍNDICE</w:t>
      </w:r>
    </w:p>
    <w:sdt>
      <w:sdtPr>
        <w:rPr>
          <w:rFonts w:ascii="Arial" w:eastAsiaTheme="minorHAnsi" w:hAnsi="Arial" w:cs="Times New Roman"/>
          <w:i w:val="0"/>
          <w:iCs w:val="0"/>
          <w:smallCaps w:val="0"/>
          <w:color w:val="auto"/>
          <w:sz w:val="22"/>
          <w:szCs w:val="22"/>
          <w:lang w:val="es-ES" w:eastAsia="en-US"/>
        </w:rPr>
        <w:id w:val="-530181223"/>
        <w:docPartObj>
          <w:docPartGallery w:val="Table of Contents"/>
          <w:docPartUnique/>
        </w:docPartObj>
      </w:sdtPr>
      <w:sdtEndPr>
        <w:rPr>
          <w:b/>
          <w:bCs/>
        </w:rPr>
      </w:sdtEndPr>
      <w:sdtContent>
        <w:p w14:paraId="11239846" w14:textId="60E6968B" w:rsidR="00101B61" w:rsidRPr="001152C4" w:rsidRDefault="00101B61">
          <w:pPr>
            <w:pStyle w:val="TtuloTDC"/>
            <w:rPr>
              <w:sz w:val="22"/>
              <w:szCs w:val="22"/>
            </w:rPr>
          </w:pPr>
        </w:p>
        <w:p w14:paraId="00A8EC40" w14:textId="1B4AA56A" w:rsidR="004872D7" w:rsidRDefault="00101B61">
          <w:pPr>
            <w:pStyle w:val="TDC1"/>
            <w:rPr>
              <w:rFonts w:asciiTheme="minorHAnsi" w:eastAsiaTheme="minorEastAsia" w:hAnsiTheme="minorHAnsi" w:cstheme="minorBidi"/>
              <w:noProof/>
              <w:kern w:val="2"/>
              <w:szCs w:val="24"/>
              <w:lang w:val="es-PY" w:eastAsia="es-PY"/>
              <w14:ligatures w14:val="standardContextual"/>
            </w:rPr>
          </w:pPr>
          <w:r w:rsidRPr="001152C4">
            <w:rPr>
              <w:sz w:val="22"/>
            </w:rPr>
            <w:fldChar w:fldCharType="begin"/>
          </w:r>
          <w:r w:rsidRPr="001152C4">
            <w:rPr>
              <w:sz w:val="22"/>
            </w:rPr>
            <w:instrText xml:space="preserve"> TOC \o "1-3" \h \z \u </w:instrText>
          </w:r>
          <w:r w:rsidRPr="001152C4">
            <w:rPr>
              <w:sz w:val="22"/>
            </w:rPr>
            <w:fldChar w:fldCharType="separate"/>
          </w:r>
          <w:hyperlink w:anchor="_Toc160698823" w:history="1">
            <w:r w:rsidR="004872D7" w:rsidRPr="00A75454">
              <w:rPr>
                <w:rStyle w:val="Hipervnculo"/>
                <w:noProof/>
                <w:lang w:val="es-ES_tradnl"/>
              </w:rPr>
              <w:t>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lang w:val="es-ES_tradnl"/>
              </w:rPr>
              <w:t>Introducción</w:t>
            </w:r>
            <w:r w:rsidR="004872D7">
              <w:rPr>
                <w:noProof/>
                <w:webHidden/>
              </w:rPr>
              <w:tab/>
            </w:r>
            <w:r w:rsidR="004872D7">
              <w:rPr>
                <w:noProof/>
                <w:webHidden/>
              </w:rPr>
              <w:fldChar w:fldCharType="begin"/>
            </w:r>
            <w:r w:rsidR="004872D7">
              <w:rPr>
                <w:noProof/>
                <w:webHidden/>
              </w:rPr>
              <w:instrText xml:space="preserve"> PAGEREF _Toc160698823 \h </w:instrText>
            </w:r>
            <w:r w:rsidR="004872D7">
              <w:rPr>
                <w:noProof/>
                <w:webHidden/>
              </w:rPr>
            </w:r>
            <w:r w:rsidR="004872D7">
              <w:rPr>
                <w:noProof/>
                <w:webHidden/>
              </w:rPr>
              <w:fldChar w:fldCharType="separate"/>
            </w:r>
            <w:r w:rsidR="004872D7">
              <w:rPr>
                <w:noProof/>
                <w:webHidden/>
              </w:rPr>
              <w:t>8</w:t>
            </w:r>
            <w:r w:rsidR="004872D7">
              <w:rPr>
                <w:noProof/>
                <w:webHidden/>
              </w:rPr>
              <w:fldChar w:fldCharType="end"/>
            </w:r>
          </w:hyperlink>
        </w:p>
        <w:p w14:paraId="6B7C08E5" w14:textId="04E8DBB9"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24" w:history="1">
            <w:r w:rsidR="004872D7" w:rsidRPr="00A75454">
              <w:rPr>
                <w:rStyle w:val="Hipervnculo"/>
                <w:noProof/>
              </w:rPr>
              <w:t>1.1.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Objetivo y alcance de esta guía</w:t>
            </w:r>
            <w:r w:rsidR="004872D7">
              <w:rPr>
                <w:noProof/>
                <w:webHidden/>
              </w:rPr>
              <w:tab/>
            </w:r>
            <w:r w:rsidR="004872D7">
              <w:rPr>
                <w:noProof/>
                <w:webHidden/>
              </w:rPr>
              <w:fldChar w:fldCharType="begin"/>
            </w:r>
            <w:r w:rsidR="004872D7">
              <w:rPr>
                <w:noProof/>
                <w:webHidden/>
              </w:rPr>
              <w:instrText xml:space="preserve"> PAGEREF _Toc160698824 \h </w:instrText>
            </w:r>
            <w:r w:rsidR="004872D7">
              <w:rPr>
                <w:noProof/>
                <w:webHidden/>
              </w:rPr>
            </w:r>
            <w:r w:rsidR="004872D7">
              <w:rPr>
                <w:noProof/>
                <w:webHidden/>
              </w:rPr>
              <w:fldChar w:fldCharType="separate"/>
            </w:r>
            <w:r w:rsidR="004872D7">
              <w:rPr>
                <w:noProof/>
                <w:webHidden/>
              </w:rPr>
              <w:t>8</w:t>
            </w:r>
            <w:r w:rsidR="004872D7">
              <w:rPr>
                <w:noProof/>
                <w:webHidden/>
              </w:rPr>
              <w:fldChar w:fldCharType="end"/>
            </w:r>
          </w:hyperlink>
        </w:p>
        <w:p w14:paraId="106E3B7F" w14:textId="6001A24B"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25" w:history="1">
            <w:r w:rsidR="004872D7" w:rsidRPr="00A75454">
              <w:rPr>
                <w:rStyle w:val="Hipervnculo"/>
                <w:noProof/>
              </w:rPr>
              <w:t>1.2.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La importancia de la competencia</w:t>
            </w:r>
            <w:r w:rsidR="004872D7">
              <w:rPr>
                <w:noProof/>
                <w:webHidden/>
              </w:rPr>
              <w:tab/>
            </w:r>
            <w:r w:rsidR="004872D7">
              <w:rPr>
                <w:noProof/>
                <w:webHidden/>
              </w:rPr>
              <w:fldChar w:fldCharType="begin"/>
            </w:r>
            <w:r w:rsidR="004872D7">
              <w:rPr>
                <w:noProof/>
                <w:webHidden/>
              </w:rPr>
              <w:instrText xml:space="preserve"> PAGEREF _Toc160698825 \h </w:instrText>
            </w:r>
            <w:r w:rsidR="004872D7">
              <w:rPr>
                <w:noProof/>
                <w:webHidden/>
              </w:rPr>
            </w:r>
            <w:r w:rsidR="004872D7">
              <w:rPr>
                <w:noProof/>
                <w:webHidden/>
              </w:rPr>
              <w:fldChar w:fldCharType="separate"/>
            </w:r>
            <w:r w:rsidR="004872D7">
              <w:rPr>
                <w:noProof/>
                <w:webHidden/>
              </w:rPr>
              <w:t>8</w:t>
            </w:r>
            <w:r w:rsidR="004872D7">
              <w:rPr>
                <w:noProof/>
                <w:webHidden/>
              </w:rPr>
              <w:fldChar w:fldCharType="end"/>
            </w:r>
          </w:hyperlink>
        </w:p>
        <w:p w14:paraId="6FED315A" w14:textId="69ECD522"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26" w:history="1">
            <w:r w:rsidR="004872D7" w:rsidRPr="00A75454">
              <w:rPr>
                <w:rStyle w:val="Hipervnculo"/>
                <w:noProof/>
              </w:rPr>
              <w:t>1.3.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Protección constitucional</w:t>
            </w:r>
            <w:r w:rsidR="004872D7">
              <w:rPr>
                <w:noProof/>
                <w:webHidden/>
              </w:rPr>
              <w:tab/>
            </w:r>
            <w:r w:rsidR="004872D7">
              <w:rPr>
                <w:noProof/>
                <w:webHidden/>
              </w:rPr>
              <w:fldChar w:fldCharType="begin"/>
            </w:r>
            <w:r w:rsidR="004872D7">
              <w:rPr>
                <w:noProof/>
                <w:webHidden/>
              </w:rPr>
              <w:instrText xml:space="preserve"> PAGEREF _Toc160698826 \h </w:instrText>
            </w:r>
            <w:r w:rsidR="004872D7">
              <w:rPr>
                <w:noProof/>
                <w:webHidden/>
              </w:rPr>
            </w:r>
            <w:r w:rsidR="004872D7">
              <w:rPr>
                <w:noProof/>
                <w:webHidden/>
              </w:rPr>
              <w:fldChar w:fldCharType="separate"/>
            </w:r>
            <w:r w:rsidR="004872D7">
              <w:rPr>
                <w:noProof/>
                <w:webHidden/>
              </w:rPr>
              <w:t>8</w:t>
            </w:r>
            <w:r w:rsidR="004872D7">
              <w:rPr>
                <w:noProof/>
                <w:webHidden/>
              </w:rPr>
              <w:fldChar w:fldCharType="end"/>
            </w:r>
          </w:hyperlink>
        </w:p>
        <w:p w14:paraId="798B4F11" w14:textId="5652AE3A"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27" w:history="1">
            <w:r w:rsidR="004872D7" w:rsidRPr="00A75454">
              <w:rPr>
                <w:rStyle w:val="Hipervnculo"/>
                <w:noProof/>
              </w:rPr>
              <w:t>1.4.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Defensa de la competencia</w:t>
            </w:r>
            <w:r w:rsidR="004872D7">
              <w:rPr>
                <w:noProof/>
                <w:webHidden/>
              </w:rPr>
              <w:tab/>
            </w:r>
            <w:r w:rsidR="004872D7">
              <w:rPr>
                <w:noProof/>
                <w:webHidden/>
              </w:rPr>
              <w:fldChar w:fldCharType="begin"/>
            </w:r>
            <w:r w:rsidR="004872D7">
              <w:rPr>
                <w:noProof/>
                <w:webHidden/>
              </w:rPr>
              <w:instrText xml:space="preserve"> PAGEREF _Toc160698827 \h </w:instrText>
            </w:r>
            <w:r w:rsidR="004872D7">
              <w:rPr>
                <w:noProof/>
                <w:webHidden/>
              </w:rPr>
            </w:r>
            <w:r w:rsidR="004872D7">
              <w:rPr>
                <w:noProof/>
                <w:webHidden/>
              </w:rPr>
              <w:fldChar w:fldCharType="separate"/>
            </w:r>
            <w:r w:rsidR="004872D7">
              <w:rPr>
                <w:noProof/>
                <w:webHidden/>
              </w:rPr>
              <w:t>9</w:t>
            </w:r>
            <w:r w:rsidR="004872D7">
              <w:rPr>
                <w:noProof/>
                <w:webHidden/>
              </w:rPr>
              <w:fldChar w:fldCharType="end"/>
            </w:r>
          </w:hyperlink>
        </w:p>
        <w:p w14:paraId="7065254D" w14:textId="07435225"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28" w:history="1">
            <w:r w:rsidR="004872D7" w:rsidRPr="00A75454">
              <w:rPr>
                <w:rStyle w:val="Hipervnculo"/>
                <w:noProof/>
              </w:rPr>
              <w:t>1.5.</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Abogacía: la misión de promover la competencia</w:t>
            </w:r>
            <w:r w:rsidR="004872D7">
              <w:rPr>
                <w:noProof/>
                <w:webHidden/>
              </w:rPr>
              <w:tab/>
            </w:r>
            <w:r w:rsidR="004872D7">
              <w:rPr>
                <w:noProof/>
                <w:webHidden/>
              </w:rPr>
              <w:fldChar w:fldCharType="begin"/>
            </w:r>
            <w:r w:rsidR="004872D7">
              <w:rPr>
                <w:noProof/>
                <w:webHidden/>
              </w:rPr>
              <w:instrText xml:space="preserve"> PAGEREF _Toc160698828 \h </w:instrText>
            </w:r>
            <w:r w:rsidR="004872D7">
              <w:rPr>
                <w:noProof/>
                <w:webHidden/>
              </w:rPr>
            </w:r>
            <w:r w:rsidR="004872D7">
              <w:rPr>
                <w:noProof/>
                <w:webHidden/>
              </w:rPr>
              <w:fldChar w:fldCharType="separate"/>
            </w:r>
            <w:r w:rsidR="004872D7">
              <w:rPr>
                <w:noProof/>
                <w:webHidden/>
              </w:rPr>
              <w:t>9</w:t>
            </w:r>
            <w:r w:rsidR="004872D7">
              <w:rPr>
                <w:noProof/>
                <w:webHidden/>
              </w:rPr>
              <w:fldChar w:fldCharType="end"/>
            </w:r>
          </w:hyperlink>
        </w:p>
        <w:p w14:paraId="7354EAFD" w14:textId="645E25FA"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29" w:history="1">
            <w:r w:rsidR="004872D7" w:rsidRPr="00A75454">
              <w:rPr>
                <w:rStyle w:val="Hipervnculo"/>
                <w:noProof/>
              </w:rPr>
              <w:t>1.6.</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Marco institucional</w:t>
            </w:r>
            <w:r w:rsidR="004872D7">
              <w:rPr>
                <w:noProof/>
                <w:webHidden/>
              </w:rPr>
              <w:tab/>
            </w:r>
            <w:r w:rsidR="004872D7">
              <w:rPr>
                <w:noProof/>
                <w:webHidden/>
              </w:rPr>
              <w:fldChar w:fldCharType="begin"/>
            </w:r>
            <w:r w:rsidR="004872D7">
              <w:rPr>
                <w:noProof/>
                <w:webHidden/>
              </w:rPr>
              <w:instrText xml:space="preserve"> PAGEREF _Toc160698829 \h </w:instrText>
            </w:r>
            <w:r w:rsidR="004872D7">
              <w:rPr>
                <w:noProof/>
                <w:webHidden/>
              </w:rPr>
            </w:r>
            <w:r w:rsidR="004872D7">
              <w:rPr>
                <w:noProof/>
                <w:webHidden/>
              </w:rPr>
              <w:fldChar w:fldCharType="separate"/>
            </w:r>
            <w:r w:rsidR="004872D7">
              <w:rPr>
                <w:noProof/>
                <w:webHidden/>
              </w:rPr>
              <w:t>10</w:t>
            </w:r>
            <w:r w:rsidR="004872D7">
              <w:rPr>
                <w:noProof/>
                <w:webHidden/>
              </w:rPr>
              <w:fldChar w:fldCharType="end"/>
            </w:r>
          </w:hyperlink>
        </w:p>
        <w:p w14:paraId="1BC7DB08" w14:textId="7D2B8A80"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30" w:history="1">
            <w:r w:rsidR="004872D7" w:rsidRPr="00A75454">
              <w:rPr>
                <w:rStyle w:val="Hipervnculo"/>
                <w:noProof/>
              </w:rPr>
              <w:t>1.6.1.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La CONACOM</w:t>
            </w:r>
            <w:r w:rsidR="004872D7">
              <w:rPr>
                <w:noProof/>
                <w:webHidden/>
              </w:rPr>
              <w:tab/>
            </w:r>
            <w:r w:rsidR="004872D7">
              <w:rPr>
                <w:noProof/>
                <w:webHidden/>
              </w:rPr>
              <w:fldChar w:fldCharType="begin"/>
            </w:r>
            <w:r w:rsidR="004872D7">
              <w:rPr>
                <w:noProof/>
                <w:webHidden/>
              </w:rPr>
              <w:instrText xml:space="preserve"> PAGEREF _Toc160698830 \h </w:instrText>
            </w:r>
            <w:r w:rsidR="004872D7">
              <w:rPr>
                <w:noProof/>
                <w:webHidden/>
              </w:rPr>
            </w:r>
            <w:r w:rsidR="004872D7">
              <w:rPr>
                <w:noProof/>
                <w:webHidden/>
              </w:rPr>
              <w:fldChar w:fldCharType="separate"/>
            </w:r>
            <w:r w:rsidR="004872D7">
              <w:rPr>
                <w:noProof/>
                <w:webHidden/>
              </w:rPr>
              <w:t>10</w:t>
            </w:r>
            <w:r w:rsidR="004872D7">
              <w:rPr>
                <w:noProof/>
                <w:webHidden/>
              </w:rPr>
              <w:fldChar w:fldCharType="end"/>
            </w:r>
          </w:hyperlink>
        </w:p>
        <w:p w14:paraId="5D2A83C4" w14:textId="50DB47A4"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31" w:history="1">
            <w:r w:rsidR="004872D7" w:rsidRPr="00A75454">
              <w:rPr>
                <w:rStyle w:val="Hipervnculo"/>
                <w:noProof/>
              </w:rPr>
              <w:t>1.6.2.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Deber de colaboración con la CONACOM</w:t>
            </w:r>
            <w:r w:rsidR="004872D7">
              <w:rPr>
                <w:noProof/>
                <w:webHidden/>
              </w:rPr>
              <w:tab/>
            </w:r>
            <w:r w:rsidR="004872D7">
              <w:rPr>
                <w:noProof/>
                <w:webHidden/>
              </w:rPr>
              <w:fldChar w:fldCharType="begin"/>
            </w:r>
            <w:r w:rsidR="004872D7">
              <w:rPr>
                <w:noProof/>
                <w:webHidden/>
              </w:rPr>
              <w:instrText xml:space="preserve"> PAGEREF _Toc160698831 \h </w:instrText>
            </w:r>
            <w:r w:rsidR="004872D7">
              <w:rPr>
                <w:noProof/>
                <w:webHidden/>
              </w:rPr>
            </w:r>
            <w:r w:rsidR="004872D7">
              <w:rPr>
                <w:noProof/>
                <w:webHidden/>
              </w:rPr>
              <w:fldChar w:fldCharType="separate"/>
            </w:r>
            <w:r w:rsidR="004872D7">
              <w:rPr>
                <w:noProof/>
                <w:webHidden/>
              </w:rPr>
              <w:t>10</w:t>
            </w:r>
            <w:r w:rsidR="004872D7">
              <w:rPr>
                <w:noProof/>
                <w:webHidden/>
              </w:rPr>
              <w:fldChar w:fldCharType="end"/>
            </w:r>
          </w:hyperlink>
        </w:p>
        <w:p w14:paraId="430DE971" w14:textId="358732AA"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32" w:history="1">
            <w:r w:rsidR="004872D7" w:rsidRPr="00A75454">
              <w:rPr>
                <w:rStyle w:val="Hipervnculo"/>
                <w:noProof/>
              </w:rPr>
              <w:t>1.6.3.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Deber de secreto</w:t>
            </w:r>
            <w:r w:rsidR="004872D7">
              <w:rPr>
                <w:noProof/>
                <w:webHidden/>
              </w:rPr>
              <w:tab/>
            </w:r>
            <w:r w:rsidR="004872D7">
              <w:rPr>
                <w:noProof/>
                <w:webHidden/>
              </w:rPr>
              <w:fldChar w:fldCharType="begin"/>
            </w:r>
            <w:r w:rsidR="004872D7">
              <w:rPr>
                <w:noProof/>
                <w:webHidden/>
              </w:rPr>
              <w:instrText xml:space="preserve"> PAGEREF _Toc160698832 \h </w:instrText>
            </w:r>
            <w:r w:rsidR="004872D7">
              <w:rPr>
                <w:noProof/>
                <w:webHidden/>
              </w:rPr>
            </w:r>
            <w:r w:rsidR="004872D7">
              <w:rPr>
                <w:noProof/>
                <w:webHidden/>
              </w:rPr>
              <w:fldChar w:fldCharType="separate"/>
            </w:r>
            <w:r w:rsidR="004872D7">
              <w:rPr>
                <w:noProof/>
                <w:webHidden/>
              </w:rPr>
              <w:t>11</w:t>
            </w:r>
            <w:r w:rsidR="004872D7">
              <w:rPr>
                <w:noProof/>
                <w:webHidden/>
              </w:rPr>
              <w:fldChar w:fldCharType="end"/>
            </w:r>
          </w:hyperlink>
        </w:p>
        <w:p w14:paraId="07C17BD5" w14:textId="6E6C8FDD" w:rsidR="004872D7" w:rsidRDefault="00000000">
          <w:pPr>
            <w:pStyle w:val="TDC1"/>
            <w:rPr>
              <w:rFonts w:asciiTheme="minorHAnsi" w:eastAsiaTheme="minorEastAsia" w:hAnsiTheme="minorHAnsi" w:cstheme="minorBidi"/>
              <w:noProof/>
              <w:kern w:val="2"/>
              <w:szCs w:val="24"/>
              <w:lang w:val="es-PY" w:eastAsia="es-PY"/>
              <w14:ligatures w14:val="standardContextual"/>
            </w:rPr>
          </w:pPr>
          <w:hyperlink w:anchor="_Toc160698833" w:history="1">
            <w:r w:rsidR="004872D7" w:rsidRPr="00A75454">
              <w:rPr>
                <w:rStyle w:val="Hipervnculo"/>
                <w:noProof/>
                <w:lang w:val="es-ES_tradnl"/>
              </w:rPr>
              <w:t>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lang w:val="es-ES_tradnl"/>
              </w:rPr>
              <w:t>La regulación municipal</w:t>
            </w:r>
            <w:r w:rsidR="004872D7">
              <w:rPr>
                <w:noProof/>
                <w:webHidden/>
              </w:rPr>
              <w:tab/>
            </w:r>
            <w:r w:rsidR="004872D7">
              <w:rPr>
                <w:noProof/>
                <w:webHidden/>
              </w:rPr>
              <w:fldChar w:fldCharType="begin"/>
            </w:r>
            <w:r w:rsidR="004872D7">
              <w:rPr>
                <w:noProof/>
                <w:webHidden/>
              </w:rPr>
              <w:instrText xml:space="preserve"> PAGEREF _Toc160698833 \h </w:instrText>
            </w:r>
            <w:r w:rsidR="004872D7">
              <w:rPr>
                <w:noProof/>
                <w:webHidden/>
              </w:rPr>
            </w:r>
            <w:r w:rsidR="004872D7">
              <w:rPr>
                <w:noProof/>
                <w:webHidden/>
              </w:rPr>
              <w:fldChar w:fldCharType="separate"/>
            </w:r>
            <w:r w:rsidR="004872D7">
              <w:rPr>
                <w:noProof/>
                <w:webHidden/>
              </w:rPr>
              <w:t>12</w:t>
            </w:r>
            <w:r w:rsidR="004872D7">
              <w:rPr>
                <w:noProof/>
                <w:webHidden/>
              </w:rPr>
              <w:fldChar w:fldCharType="end"/>
            </w:r>
          </w:hyperlink>
        </w:p>
        <w:p w14:paraId="24B83D73" w14:textId="27D6C020"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34" w:history="1">
            <w:r w:rsidR="004872D7" w:rsidRPr="00A75454">
              <w:rPr>
                <w:rStyle w:val="Hipervnculo"/>
                <w:noProof/>
              </w:rPr>
              <w:t>2.1.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Regulación</w:t>
            </w:r>
            <w:r w:rsidR="004872D7">
              <w:rPr>
                <w:noProof/>
                <w:webHidden/>
              </w:rPr>
              <w:tab/>
            </w:r>
            <w:r w:rsidR="004872D7">
              <w:rPr>
                <w:noProof/>
                <w:webHidden/>
              </w:rPr>
              <w:fldChar w:fldCharType="begin"/>
            </w:r>
            <w:r w:rsidR="004872D7">
              <w:rPr>
                <w:noProof/>
                <w:webHidden/>
              </w:rPr>
              <w:instrText xml:space="preserve"> PAGEREF _Toc160698834 \h </w:instrText>
            </w:r>
            <w:r w:rsidR="004872D7">
              <w:rPr>
                <w:noProof/>
                <w:webHidden/>
              </w:rPr>
            </w:r>
            <w:r w:rsidR="004872D7">
              <w:rPr>
                <w:noProof/>
                <w:webHidden/>
              </w:rPr>
              <w:fldChar w:fldCharType="separate"/>
            </w:r>
            <w:r w:rsidR="004872D7">
              <w:rPr>
                <w:noProof/>
                <w:webHidden/>
              </w:rPr>
              <w:t>12</w:t>
            </w:r>
            <w:r w:rsidR="004872D7">
              <w:rPr>
                <w:noProof/>
                <w:webHidden/>
              </w:rPr>
              <w:fldChar w:fldCharType="end"/>
            </w:r>
          </w:hyperlink>
        </w:p>
        <w:p w14:paraId="4B1A188D" w14:textId="7D41E183"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35" w:history="1">
            <w:r w:rsidR="004872D7" w:rsidRPr="00A75454">
              <w:rPr>
                <w:rStyle w:val="Hipervnculo"/>
                <w:noProof/>
              </w:rPr>
              <w:t>2.2.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Efectos de la regulación en la competencia</w:t>
            </w:r>
            <w:r w:rsidR="004872D7">
              <w:rPr>
                <w:noProof/>
                <w:webHidden/>
              </w:rPr>
              <w:tab/>
            </w:r>
            <w:r w:rsidR="004872D7">
              <w:rPr>
                <w:noProof/>
                <w:webHidden/>
              </w:rPr>
              <w:fldChar w:fldCharType="begin"/>
            </w:r>
            <w:r w:rsidR="004872D7">
              <w:rPr>
                <w:noProof/>
                <w:webHidden/>
              </w:rPr>
              <w:instrText xml:space="preserve"> PAGEREF _Toc160698835 \h </w:instrText>
            </w:r>
            <w:r w:rsidR="004872D7">
              <w:rPr>
                <w:noProof/>
                <w:webHidden/>
              </w:rPr>
            </w:r>
            <w:r w:rsidR="004872D7">
              <w:rPr>
                <w:noProof/>
                <w:webHidden/>
              </w:rPr>
              <w:fldChar w:fldCharType="separate"/>
            </w:r>
            <w:r w:rsidR="004872D7">
              <w:rPr>
                <w:noProof/>
                <w:webHidden/>
              </w:rPr>
              <w:t>12</w:t>
            </w:r>
            <w:r w:rsidR="004872D7">
              <w:rPr>
                <w:noProof/>
                <w:webHidden/>
              </w:rPr>
              <w:fldChar w:fldCharType="end"/>
            </w:r>
          </w:hyperlink>
        </w:p>
        <w:p w14:paraId="432CC6C5" w14:textId="1F75E00B"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36" w:history="1">
            <w:r w:rsidR="004872D7" w:rsidRPr="00A75454">
              <w:rPr>
                <w:rStyle w:val="Hipervnculo"/>
                <w:noProof/>
              </w:rPr>
              <w:t>2.3.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Regulación municipal</w:t>
            </w:r>
            <w:r w:rsidR="004872D7">
              <w:rPr>
                <w:noProof/>
                <w:webHidden/>
              </w:rPr>
              <w:tab/>
            </w:r>
            <w:r w:rsidR="004872D7">
              <w:rPr>
                <w:noProof/>
                <w:webHidden/>
              </w:rPr>
              <w:fldChar w:fldCharType="begin"/>
            </w:r>
            <w:r w:rsidR="004872D7">
              <w:rPr>
                <w:noProof/>
                <w:webHidden/>
              </w:rPr>
              <w:instrText xml:space="preserve"> PAGEREF _Toc160698836 \h </w:instrText>
            </w:r>
            <w:r w:rsidR="004872D7">
              <w:rPr>
                <w:noProof/>
                <w:webHidden/>
              </w:rPr>
            </w:r>
            <w:r w:rsidR="004872D7">
              <w:rPr>
                <w:noProof/>
                <w:webHidden/>
              </w:rPr>
              <w:fldChar w:fldCharType="separate"/>
            </w:r>
            <w:r w:rsidR="004872D7">
              <w:rPr>
                <w:noProof/>
                <w:webHidden/>
              </w:rPr>
              <w:t>13</w:t>
            </w:r>
            <w:r w:rsidR="004872D7">
              <w:rPr>
                <w:noProof/>
                <w:webHidden/>
              </w:rPr>
              <w:fldChar w:fldCharType="end"/>
            </w:r>
          </w:hyperlink>
        </w:p>
        <w:p w14:paraId="27D23C79" w14:textId="6563A019"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37" w:history="1">
            <w:r w:rsidR="004872D7" w:rsidRPr="00A75454">
              <w:rPr>
                <w:rStyle w:val="Hipervnculo"/>
                <w:noProof/>
              </w:rPr>
              <w:t>2.4.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Contrataciones públicas municipales</w:t>
            </w:r>
            <w:r w:rsidR="004872D7">
              <w:rPr>
                <w:noProof/>
                <w:webHidden/>
              </w:rPr>
              <w:tab/>
            </w:r>
            <w:r w:rsidR="004872D7">
              <w:rPr>
                <w:noProof/>
                <w:webHidden/>
              </w:rPr>
              <w:fldChar w:fldCharType="begin"/>
            </w:r>
            <w:r w:rsidR="004872D7">
              <w:rPr>
                <w:noProof/>
                <w:webHidden/>
              </w:rPr>
              <w:instrText xml:space="preserve"> PAGEREF _Toc160698837 \h </w:instrText>
            </w:r>
            <w:r w:rsidR="004872D7">
              <w:rPr>
                <w:noProof/>
                <w:webHidden/>
              </w:rPr>
            </w:r>
            <w:r w:rsidR="004872D7">
              <w:rPr>
                <w:noProof/>
                <w:webHidden/>
              </w:rPr>
              <w:fldChar w:fldCharType="separate"/>
            </w:r>
            <w:r w:rsidR="004872D7">
              <w:rPr>
                <w:noProof/>
                <w:webHidden/>
              </w:rPr>
              <w:t>15</w:t>
            </w:r>
            <w:r w:rsidR="004872D7">
              <w:rPr>
                <w:noProof/>
                <w:webHidden/>
              </w:rPr>
              <w:fldChar w:fldCharType="end"/>
            </w:r>
          </w:hyperlink>
        </w:p>
        <w:p w14:paraId="4766BDAE" w14:textId="45B5DE20" w:rsidR="004872D7" w:rsidRDefault="00000000">
          <w:pPr>
            <w:pStyle w:val="TDC1"/>
            <w:rPr>
              <w:rFonts w:asciiTheme="minorHAnsi" w:eastAsiaTheme="minorEastAsia" w:hAnsiTheme="minorHAnsi" w:cstheme="minorBidi"/>
              <w:noProof/>
              <w:kern w:val="2"/>
              <w:szCs w:val="24"/>
              <w:lang w:val="es-PY" w:eastAsia="es-PY"/>
              <w14:ligatures w14:val="standardContextual"/>
            </w:rPr>
          </w:pPr>
          <w:hyperlink w:anchor="_Toc160698838" w:history="1">
            <w:r w:rsidR="004872D7" w:rsidRPr="00A75454">
              <w:rPr>
                <w:rStyle w:val="Hipervnculo"/>
                <w:noProof/>
                <w:lang w:val="es-ES_tradnl"/>
              </w:rPr>
              <w:t>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lang w:val="es-ES_tradnl"/>
              </w:rPr>
              <w:t>Identificación de barreras regulatorias a la competencia</w:t>
            </w:r>
            <w:r w:rsidR="004872D7">
              <w:rPr>
                <w:noProof/>
                <w:webHidden/>
              </w:rPr>
              <w:tab/>
            </w:r>
            <w:r w:rsidR="004872D7">
              <w:rPr>
                <w:noProof/>
                <w:webHidden/>
              </w:rPr>
              <w:fldChar w:fldCharType="begin"/>
            </w:r>
            <w:r w:rsidR="004872D7">
              <w:rPr>
                <w:noProof/>
                <w:webHidden/>
              </w:rPr>
              <w:instrText xml:space="preserve"> PAGEREF _Toc160698838 \h </w:instrText>
            </w:r>
            <w:r w:rsidR="004872D7">
              <w:rPr>
                <w:noProof/>
                <w:webHidden/>
              </w:rPr>
            </w:r>
            <w:r w:rsidR="004872D7">
              <w:rPr>
                <w:noProof/>
                <w:webHidden/>
              </w:rPr>
              <w:fldChar w:fldCharType="separate"/>
            </w:r>
            <w:r w:rsidR="004872D7">
              <w:rPr>
                <w:noProof/>
                <w:webHidden/>
              </w:rPr>
              <w:t>16</w:t>
            </w:r>
            <w:r w:rsidR="004872D7">
              <w:rPr>
                <w:noProof/>
                <w:webHidden/>
              </w:rPr>
              <w:fldChar w:fldCharType="end"/>
            </w:r>
          </w:hyperlink>
        </w:p>
        <w:p w14:paraId="4B87A03D" w14:textId="7D9448D8"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39" w:history="1">
            <w:r w:rsidR="004872D7" w:rsidRPr="00A75454">
              <w:rPr>
                <w:rStyle w:val="Hipervnculo"/>
                <w:noProof/>
              </w:rPr>
              <w:t>3.1.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limitan la cantidad de proveedores</w:t>
            </w:r>
            <w:r w:rsidR="004872D7">
              <w:rPr>
                <w:noProof/>
                <w:webHidden/>
              </w:rPr>
              <w:tab/>
            </w:r>
            <w:r w:rsidR="004872D7">
              <w:rPr>
                <w:noProof/>
                <w:webHidden/>
              </w:rPr>
              <w:fldChar w:fldCharType="begin"/>
            </w:r>
            <w:r w:rsidR="004872D7">
              <w:rPr>
                <w:noProof/>
                <w:webHidden/>
              </w:rPr>
              <w:instrText xml:space="preserve"> PAGEREF _Toc160698839 \h </w:instrText>
            </w:r>
            <w:r w:rsidR="004872D7">
              <w:rPr>
                <w:noProof/>
                <w:webHidden/>
              </w:rPr>
            </w:r>
            <w:r w:rsidR="004872D7">
              <w:rPr>
                <w:noProof/>
                <w:webHidden/>
              </w:rPr>
              <w:fldChar w:fldCharType="separate"/>
            </w:r>
            <w:r w:rsidR="004872D7">
              <w:rPr>
                <w:noProof/>
                <w:webHidden/>
              </w:rPr>
              <w:t>18</w:t>
            </w:r>
            <w:r w:rsidR="004872D7">
              <w:rPr>
                <w:noProof/>
                <w:webHidden/>
              </w:rPr>
              <w:fldChar w:fldCharType="end"/>
            </w:r>
          </w:hyperlink>
        </w:p>
        <w:p w14:paraId="2D1B30CF" w14:textId="505A7B42"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0" w:history="1">
            <w:r w:rsidR="004872D7" w:rsidRPr="00A75454">
              <w:rPr>
                <w:rStyle w:val="Hipervnculo"/>
                <w:noProof/>
              </w:rPr>
              <w:t>3.1.1.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Derechos exclusivos</w:t>
            </w:r>
            <w:r w:rsidR="004872D7">
              <w:rPr>
                <w:noProof/>
                <w:webHidden/>
              </w:rPr>
              <w:tab/>
            </w:r>
            <w:r w:rsidR="004872D7">
              <w:rPr>
                <w:noProof/>
                <w:webHidden/>
              </w:rPr>
              <w:fldChar w:fldCharType="begin"/>
            </w:r>
            <w:r w:rsidR="004872D7">
              <w:rPr>
                <w:noProof/>
                <w:webHidden/>
              </w:rPr>
              <w:instrText xml:space="preserve"> PAGEREF _Toc160698840 \h </w:instrText>
            </w:r>
            <w:r w:rsidR="004872D7">
              <w:rPr>
                <w:noProof/>
                <w:webHidden/>
              </w:rPr>
            </w:r>
            <w:r w:rsidR="004872D7">
              <w:rPr>
                <w:noProof/>
                <w:webHidden/>
              </w:rPr>
              <w:fldChar w:fldCharType="separate"/>
            </w:r>
            <w:r w:rsidR="004872D7">
              <w:rPr>
                <w:noProof/>
                <w:webHidden/>
              </w:rPr>
              <w:t>18</w:t>
            </w:r>
            <w:r w:rsidR="004872D7">
              <w:rPr>
                <w:noProof/>
                <w:webHidden/>
              </w:rPr>
              <w:fldChar w:fldCharType="end"/>
            </w:r>
          </w:hyperlink>
        </w:p>
        <w:p w14:paraId="072C3737" w14:textId="3122ECCC"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1" w:history="1">
            <w:r w:rsidR="004872D7" w:rsidRPr="00A75454">
              <w:rPr>
                <w:rStyle w:val="Hipervnculo"/>
                <w:noProof/>
              </w:rPr>
              <w:t>3.1.2.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Requisitos de una habilitación</w:t>
            </w:r>
            <w:r w:rsidR="004872D7">
              <w:rPr>
                <w:noProof/>
                <w:webHidden/>
              </w:rPr>
              <w:tab/>
            </w:r>
            <w:r w:rsidR="004872D7">
              <w:rPr>
                <w:noProof/>
                <w:webHidden/>
              </w:rPr>
              <w:fldChar w:fldCharType="begin"/>
            </w:r>
            <w:r w:rsidR="004872D7">
              <w:rPr>
                <w:noProof/>
                <w:webHidden/>
              </w:rPr>
              <w:instrText xml:space="preserve"> PAGEREF _Toc160698841 \h </w:instrText>
            </w:r>
            <w:r w:rsidR="004872D7">
              <w:rPr>
                <w:noProof/>
                <w:webHidden/>
              </w:rPr>
            </w:r>
            <w:r w:rsidR="004872D7">
              <w:rPr>
                <w:noProof/>
                <w:webHidden/>
              </w:rPr>
              <w:fldChar w:fldCharType="separate"/>
            </w:r>
            <w:r w:rsidR="004872D7">
              <w:rPr>
                <w:noProof/>
                <w:webHidden/>
              </w:rPr>
              <w:t>19</w:t>
            </w:r>
            <w:r w:rsidR="004872D7">
              <w:rPr>
                <w:noProof/>
                <w:webHidden/>
              </w:rPr>
              <w:fldChar w:fldCharType="end"/>
            </w:r>
          </w:hyperlink>
        </w:p>
        <w:p w14:paraId="464EED6E" w14:textId="13BA7494"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2" w:history="1">
            <w:r w:rsidR="004872D7" w:rsidRPr="00A75454">
              <w:rPr>
                <w:rStyle w:val="Hipervnculo"/>
                <w:noProof/>
              </w:rPr>
              <w:t>3.1.3.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Cantidad limitada de competidores</w:t>
            </w:r>
            <w:r w:rsidR="004872D7">
              <w:rPr>
                <w:noProof/>
                <w:webHidden/>
              </w:rPr>
              <w:tab/>
            </w:r>
            <w:r w:rsidR="004872D7">
              <w:rPr>
                <w:noProof/>
                <w:webHidden/>
              </w:rPr>
              <w:fldChar w:fldCharType="begin"/>
            </w:r>
            <w:r w:rsidR="004872D7">
              <w:rPr>
                <w:noProof/>
                <w:webHidden/>
              </w:rPr>
              <w:instrText xml:space="preserve"> PAGEREF _Toc160698842 \h </w:instrText>
            </w:r>
            <w:r w:rsidR="004872D7">
              <w:rPr>
                <w:noProof/>
                <w:webHidden/>
              </w:rPr>
            </w:r>
            <w:r w:rsidR="004872D7">
              <w:rPr>
                <w:noProof/>
                <w:webHidden/>
              </w:rPr>
              <w:fldChar w:fldCharType="separate"/>
            </w:r>
            <w:r w:rsidR="004872D7">
              <w:rPr>
                <w:noProof/>
                <w:webHidden/>
              </w:rPr>
              <w:t>19</w:t>
            </w:r>
            <w:r w:rsidR="004872D7">
              <w:rPr>
                <w:noProof/>
                <w:webHidden/>
              </w:rPr>
              <w:fldChar w:fldCharType="end"/>
            </w:r>
          </w:hyperlink>
        </w:p>
        <w:p w14:paraId="5CF7747E" w14:textId="1627021D"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3" w:history="1">
            <w:r w:rsidR="004872D7" w:rsidRPr="00A75454">
              <w:rPr>
                <w:rStyle w:val="Hipervnculo"/>
                <w:noProof/>
              </w:rPr>
              <w:t>3.1.4.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Limitación de capacidad de proveer un bien o servicio</w:t>
            </w:r>
            <w:r w:rsidR="004872D7">
              <w:rPr>
                <w:noProof/>
                <w:webHidden/>
              </w:rPr>
              <w:tab/>
            </w:r>
            <w:r w:rsidR="004872D7">
              <w:rPr>
                <w:noProof/>
                <w:webHidden/>
              </w:rPr>
              <w:fldChar w:fldCharType="begin"/>
            </w:r>
            <w:r w:rsidR="004872D7">
              <w:rPr>
                <w:noProof/>
                <w:webHidden/>
              </w:rPr>
              <w:instrText xml:space="preserve"> PAGEREF _Toc160698843 \h </w:instrText>
            </w:r>
            <w:r w:rsidR="004872D7">
              <w:rPr>
                <w:noProof/>
                <w:webHidden/>
              </w:rPr>
            </w:r>
            <w:r w:rsidR="004872D7">
              <w:rPr>
                <w:noProof/>
                <w:webHidden/>
              </w:rPr>
              <w:fldChar w:fldCharType="separate"/>
            </w:r>
            <w:r w:rsidR="004872D7">
              <w:rPr>
                <w:noProof/>
                <w:webHidden/>
              </w:rPr>
              <w:t>20</w:t>
            </w:r>
            <w:r w:rsidR="004872D7">
              <w:rPr>
                <w:noProof/>
                <w:webHidden/>
              </w:rPr>
              <w:fldChar w:fldCharType="end"/>
            </w:r>
          </w:hyperlink>
        </w:p>
        <w:p w14:paraId="1C3CF651" w14:textId="71043680"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4" w:history="1">
            <w:r w:rsidR="004872D7" w:rsidRPr="00A75454">
              <w:rPr>
                <w:rStyle w:val="Hipervnculo"/>
                <w:noProof/>
              </w:rPr>
              <w:t>3.1.5.</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Aumento de costos de entrada o salida</w:t>
            </w:r>
            <w:r w:rsidR="004872D7">
              <w:rPr>
                <w:noProof/>
                <w:webHidden/>
              </w:rPr>
              <w:tab/>
            </w:r>
            <w:r w:rsidR="004872D7">
              <w:rPr>
                <w:noProof/>
                <w:webHidden/>
              </w:rPr>
              <w:fldChar w:fldCharType="begin"/>
            </w:r>
            <w:r w:rsidR="004872D7">
              <w:rPr>
                <w:noProof/>
                <w:webHidden/>
              </w:rPr>
              <w:instrText xml:space="preserve"> PAGEREF _Toc160698844 \h </w:instrText>
            </w:r>
            <w:r w:rsidR="004872D7">
              <w:rPr>
                <w:noProof/>
                <w:webHidden/>
              </w:rPr>
            </w:r>
            <w:r w:rsidR="004872D7">
              <w:rPr>
                <w:noProof/>
                <w:webHidden/>
              </w:rPr>
              <w:fldChar w:fldCharType="separate"/>
            </w:r>
            <w:r w:rsidR="004872D7">
              <w:rPr>
                <w:noProof/>
                <w:webHidden/>
              </w:rPr>
              <w:t>20</w:t>
            </w:r>
            <w:r w:rsidR="004872D7">
              <w:rPr>
                <w:noProof/>
                <w:webHidden/>
              </w:rPr>
              <w:fldChar w:fldCharType="end"/>
            </w:r>
          </w:hyperlink>
        </w:p>
        <w:p w14:paraId="69C25485" w14:textId="10CBEFBF"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5" w:history="1">
            <w:r w:rsidR="004872D7" w:rsidRPr="00A75454">
              <w:rPr>
                <w:rStyle w:val="Hipervnculo"/>
                <w:noProof/>
              </w:rPr>
              <w:t>3.1.6.</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Restricciones geográficas</w:t>
            </w:r>
            <w:r w:rsidR="004872D7">
              <w:rPr>
                <w:noProof/>
                <w:webHidden/>
              </w:rPr>
              <w:tab/>
            </w:r>
            <w:r w:rsidR="004872D7">
              <w:rPr>
                <w:noProof/>
                <w:webHidden/>
              </w:rPr>
              <w:fldChar w:fldCharType="begin"/>
            </w:r>
            <w:r w:rsidR="004872D7">
              <w:rPr>
                <w:noProof/>
                <w:webHidden/>
              </w:rPr>
              <w:instrText xml:space="preserve"> PAGEREF _Toc160698845 \h </w:instrText>
            </w:r>
            <w:r w:rsidR="004872D7">
              <w:rPr>
                <w:noProof/>
                <w:webHidden/>
              </w:rPr>
            </w:r>
            <w:r w:rsidR="004872D7">
              <w:rPr>
                <w:noProof/>
                <w:webHidden/>
              </w:rPr>
              <w:fldChar w:fldCharType="separate"/>
            </w:r>
            <w:r w:rsidR="004872D7">
              <w:rPr>
                <w:noProof/>
                <w:webHidden/>
              </w:rPr>
              <w:t>20</w:t>
            </w:r>
            <w:r w:rsidR="004872D7">
              <w:rPr>
                <w:noProof/>
                <w:webHidden/>
              </w:rPr>
              <w:fldChar w:fldCharType="end"/>
            </w:r>
          </w:hyperlink>
        </w:p>
        <w:p w14:paraId="5F315D03" w14:textId="554BF05E"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46" w:history="1">
            <w:r w:rsidR="004872D7" w:rsidRPr="00A75454">
              <w:rPr>
                <w:rStyle w:val="Hipervnculo"/>
                <w:noProof/>
              </w:rPr>
              <w:t>3.2.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limitan la capacidad de competir</w:t>
            </w:r>
            <w:r w:rsidR="004872D7">
              <w:rPr>
                <w:noProof/>
                <w:webHidden/>
              </w:rPr>
              <w:tab/>
            </w:r>
            <w:r w:rsidR="004872D7">
              <w:rPr>
                <w:noProof/>
                <w:webHidden/>
              </w:rPr>
              <w:fldChar w:fldCharType="begin"/>
            </w:r>
            <w:r w:rsidR="004872D7">
              <w:rPr>
                <w:noProof/>
                <w:webHidden/>
              </w:rPr>
              <w:instrText xml:space="preserve"> PAGEREF _Toc160698846 \h </w:instrText>
            </w:r>
            <w:r w:rsidR="004872D7">
              <w:rPr>
                <w:noProof/>
                <w:webHidden/>
              </w:rPr>
            </w:r>
            <w:r w:rsidR="004872D7">
              <w:rPr>
                <w:noProof/>
                <w:webHidden/>
              </w:rPr>
              <w:fldChar w:fldCharType="separate"/>
            </w:r>
            <w:r w:rsidR="004872D7">
              <w:rPr>
                <w:noProof/>
                <w:webHidden/>
              </w:rPr>
              <w:t>21</w:t>
            </w:r>
            <w:r w:rsidR="004872D7">
              <w:rPr>
                <w:noProof/>
                <w:webHidden/>
              </w:rPr>
              <w:fldChar w:fldCharType="end"/>
            </w:r>
          </w:hyperlink>
        </w:p>
        <w:p w14:paraId="03CA2F1C" w14:textId="67B90E4F"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7" w:history="1">
            <w:r w:rsidR="004872D7" w:rsidRPr="00A75454">
              <w:rPr>
                <w:rStyle w:val="Hipervnculo"/>
                <w:noProof/>
              </w:rPr>
              <w:t>3.2.1.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sobre precios</w:t>
            </w:r>
            <w:r w:rsidR="004872D7">
              <w:rPr>
                <w:noProof/>
                <w:webHidden/>
              </w:rPr>
              <w:tab/>
            </w:r>
            <w:r w:rsidR="004872D7">
              <w:rPr>
                <w:noProof/>
                <w:webHidden/>
              </w:rPr>
              <w:fldChar w:fldCharType="begin"/>
            </w:r>
            <w:r w:rsidR="004872D7">
              <w:rPr>
                <w:noProof/>
                <w:webHidden/>
              </w:rPr>
              <w:instrText xml:space="preserve"> PAGEREF _Toc160698847 \h </w:instrText>
            </w:r>
            <w:r w:rsidR="004872D7">
              <w:rPr>
                <w:noProof/>
                <w:webHidden/>
              </w:rPr>
            </w:r>
            <w:r w:rsidR="004872D7">
              <w:rPr>
                <w:noProof/>
                <w:webHidden/>
              </w:rPr>
              <w:fldChar w:fldCharType="separate"/>
            </w:r>
            <w:r w:rsidR="004872D7">
              <w:rPr>
                <w:noProof/>
                <w:webHidden/>
              </w:rPr>
              <w:t>21</w:t>
            </w:r>
            <w:r w:rsidR="004872D7">
              <w:rPr>
                <w:noProof/>
                <w:webHidden/>
              </w:rPr>
              <w:fldChar w:fldCharType="end"/>
            </w:r>
          </w:hyperlink>
        </w:p>
        <w:p w14:paraId="7E7DF1AD" w14:textId="392DCA2D"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8" w:history="1">
            <w:r w:rsidR="004872D7" w:rsidRPr="00A75454">
              <w:rPr>
                <w:rStyle w:val="Hipervnculo"/>
                <w:noProof/>
              </w:rPr>
              <w:t>3.2.2.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de calidad</w:t>
            </w:r>
            <w:r w:rsidR="004872D7">
              <w:rPr>
                <w:noProof/>
                <w:webHidden/>
              </w:rPr>
              <w:tab/>
            </w:r>
            <w:r w:rsidR="004872D7">
              <w:rPr>
                <w:noProof/>
                <w:webHidden/>
              </w:rPr>
              <w:fldChar w:fldCharType="begin"/>
            </w:r>
            <w:r w:rsidR="004872D7">
              <w:rPr>
                <w:noProof/>
                <w:webHidden/>
              </w:rPr>
              <w:instrText xml:space="preserve"> PAGEREF _Toc160698848 \h </w:instrText>
            </w:r>
            <w:r w:rsidR="004872D7">
              <w:rPr>
                <w:noProof/>
                <w:webHidden/>
              </w:rPr>
            </w:r>
            <w:r w:rsidR="004872D7">
              <w:rPr>
                <w:noProof/>
                <w:webHidden/>
              </w:rPr>
              <w:fldChar w:fldCharType="separate"/>
            </w:r>
            <w:r w:rsidR="004872D7">
              <w:rPr>
                <w:noProof/>
                <w:webHidden/>
              </w:rPr>
              <w:t>23</w:t>
            </w:r>
            <w:r w:rsidR="004872D7">
              <w:rPr>
                <w:noProof/>
                <w:webHidden/>
              </w:rPr>
              <w:fldChar w:fldCharType="end"/>
            </w:r>
          </w:hyperlink>
        </w:p>
        <w:p w14:paraId="40AD7601" w14:textId="308D5431"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49" w:history="1">
            <w:r w:rsidR="004872D7" w:rsidRPr="00A75454">
              <w:rPr>
                <w:rStyle w:val="Hipervnculo"/>
                <w:noProof/>
              </w:rPr>
              <w:t>3.2.3.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Ventajas o preferencias</w:t>
            </w:r>
            <w:r w:rsidR="004872D7">
              <w:rPr>
                <w:noProof/>
                <w:webHidden/>
              </w:rPr>
              <w:tab/>
            </w:r>
            <w:r w:rsidR="004872D7">
              <w:rPr>
                <w:noProof/>
                <w:webHidden/>
              </w:rPr>
              <w:fldChar w:fldCharType="begin"/>
            </w:r>
            <w:r w:rsidR="004872D7">
              <w:rPr>
                <w:noProof/>
                <w:webHidden/>
              </w:rPr>
              <w:instrText xml:space="preserve"> PAGEREF _Toc160698849 \h </w:instrText>
            </w:r>
            <w:r w:rsidR="004872D7">
              <w:rPr>
                <w:noProof/>
                <w:webHidden/>
              </w:rPr>
            </w:r>
            <w:r w:rsidR="004872D7">
              <w:rPr>
                <w:noProof/>
                <w:webHidden/>
              </w:rPr>
              <w:fldChar w:fldCharType="separate"/>
            </w:r>
            <w:r w:rsidR="004872D7">
              <w:rPr>
                <w:noProof/>
                <w:webHidden/>
              </w:rPr>
              <w:t>23</w:t>
            </w:r>
            <w:r w:rsidR="004872D7">
              <w:rPr>
                <w:noProof/>
                <w:webHidden/>
              </w:rPr>
              <w:fldChar w:fldCharType="end"/>
            </w:r>
          </w:hyperlink>
        </w:p>
        <w:p w14:paraId="5994DD74" w14:textId="0A3AFFCD"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0" w:history="1">
            <w:r w:rsidR="004872D7" w:rsidRPr="00A75454">
              <w:rPr>
                <w:rStyle w:val="Hipervnculo"/>
                <w:noProof/>
              </w:rPr>
              <w:t>3.2.4.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Reducción de capacidad de innovar</w:t>
            </w:r>
            <w:r w:rsidR="004872D7">
              <w:rPr>
                <w:noProof/>
                <w:webHidden/>
              </w:rPr>
              <w:tab/>
            </w:r>
            <w:r w:rsidR="004872D7">
              <w:rPr>
                <w:noProof/>
                <w:webHidden/>
              </w:rPr>
              <w:fldChar w:fldCharType="begin"/>
            </w:r>
            <w:r w:rsidR="004872D7">
              <w:rPr>
                <w:noProof/>
                <w:webHidden/>
              </w:rPr>
              <w:instrText xml:space="preserve"> PAGEREF _Toc160698850 \h </w:instrText>
            </w:r>
            <w:r w:rsidR="004872D7">
              <w:rPr>
                <w:noProof/>
                <w:webHidden/>
              </w:rPr>
            </w:r>
            <w:r w:rsidR="004872D7">
              <w:rPr>
                <w:noProof/>
                <w:webHidden/>
              </w:rPr>
              <w:fldChar w:fldCharType="separate"/>
            </w:r>
            <w:r w:rsidR="004872D7">
              <w:rPr>
                <w:noProof/>
                <w:webHidden/>
              </w:rPr>
              <w:t>24</w:t>
            </w:r>
            <w:r w:rsidR="004872D7">
              <w:rPr>
                <w:noProof/>
                <w:webHidden/>
              </w:rPr>
              <w:fldChar w:fldCharType="end"/>
            </w:r>
          </w:hyperlink>
        </w:p>
        <w:p w14:paraId="3F0083DB" w14:textId="356A5967"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1" w:history="1">
            <w:r w:rsidR="004872D7" w:rsidRPr="00A75454">
              <w:rPr>
                <w:rStyle w:val="Hipervnculo"/>
                <w:noProof/>
              </w:rPr>
              <w:t>3.2.5.</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Limitación de libertad de promoción</w:t>
            </w:r>
            <w:r w:rsidR="004872D7">
              <w:rPr>
                <w:noProof/>
                <w:webHidden/>
              </w:rPr>
              <w:tab/>
            </w:r>
            <w:r w:rsidR="004872D7">
              <w:rPr>
                <w:noProof/>
                <w:webHidden/>
              </w:rPr>
              <w:fldChar w:fldCharType="begin"/>
            </w:r>
            <w:r w:rsidR="004872D7">
              <w:rPr>
                <w:noProof/>
                <w:webHidden/>
              </w:rPr>
              <w:instrText xml:space="preserve"> PAGEREF _Toc160698851 \h </w:instrText>
            </w:r>
            <w:r w:rsidR="004872D7">
              <w:rPr>
                <w:noProof/>
                <w:webHidden/>
              </w:rPr>
            </w:r>
            <w:r w:rsidR="004872D7">
              <w:rPr>
                <w:noProof/>
                <w:webHidden/>
              </w:rPr>
              <w:fldChar w:fldCharType="separate"/>
            </w:r>
            <w:r w:rsidR="004872D7">
              <w:rPr>
                <w:noProof/>
                <w:webHidden/>
              </w:rPr>
              <w:t>24</w:t>
            </w:r>
            <w:r w:rsidR="004872D7">
              <w:rPr>
                <w:noProof/>
                <w:webHidden/>
              </w:rPr>
              <w:fldChar w:fldCharType="end"/>
            </w:r>
          </w:hyperlink>
        </w:p>
        <w:p w14:paraId="11CF44CC" w14:textId="51F5B74F"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52" w:history="1">
            <w:r w:rsidR="004872D7" w:rsidRPr="00A75454">
              <w:rPr>
                <w:rStyle w:val="Hipervnculo"/>
                <w:noProof/>
              </w:rPr>
              <w:t>3.3.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reducen el incentivo para competir</w:t>
            </w:r>
            <w:r w:rsidR="004872D7">
              <w:rPr>
                <w:noProof/>
                <w:webHidden/>
              </w:rPr>
              <w:tab/>
            </w:r>
            <w:r w:rsidR="004872D7">
              <w:rPr>
                <w:noProof/>
                <w:webHidden/>
              </w:rPr>
              <w:fldChar w:fldCharType="begin"/>
            </w:r>
            <w:r w:rsidR="004872D7">
              <w:rPr>
                <w:noProof/>
                <w:webHidden/>
              </w:rPr>
              <w:instrText xml:space="preserve"> PAGEREF _Toc160698852 \h </w:instrText>
            </w:r>
            <w:r w:rsidR="004872D7">
              <w:rPr>
                <w:noProof/>
                <w:webHidden/>
              </w:rPr>
            </w:r>
            <w:r w:rsidR="004872D7">
              <w:rPr>
                <w:noProof/>
                <w:webHidden/>
              </w:rPr>
              <w:fldChar w:fldCharType="separate"/>
            </w:r>
            <w:r w:rsidR="004872D7">
              <w:rPr>
                <w:noProof/>
                <w:webHidden/>
              </w:rPr>
              <w:t>25</w:t>
            </w:r>
            <w:r w:rsidR="004872D7">
              <w:rPr>
                <w:noProof/>
                <w:webHidden/>
              </w:rPr>
              <w:fldChar w:fldCharType="end"/>
            </w:r>
          </w:hyperlink>
        </w:p>
        <w:p w14:paraId="578F1096" w14:textId="64542C31"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3" w:history="1">
            <w:r w:rsidR="004872D7" w:rsidRPr="00A75454">
              <w:rPr>
                <w:rStyle w:val="Hipervnculo"/>
                <w:noProof/>
              </w:rPr>
              <w:t>3.3.1.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 aplicación de la Ley de Defensa de la Competencia</w:t>
            </w:r>
            <w:r w:rsidR="004872D7">
              <w:rPr>
                <w:noProof/>
                <w:webHidden/>
              </w:rPr>
              <w:tab/>
            </w:r>
            <w:r w:rsidR="004872D7">
              <w:rPr>
                <w:noProof/>
                <w:webHidden/>
              </w:rPr>
              <w:fldChar w:fldCharType="begin"/>
            </w:r>
            <w:r w:rsidR="004872D7">
              <w:rPr>
                <w:noProof/>
                <w:webHidden/>
              </w:rPr>
              <w:instrText xml:space="preserve"> PAGEREF _Toc160698853 \h </w:instrText>
            </w:r>
            <w:r w:rsidR="004872D7">
              <w:rPr>
                <w:noProof/>
                <w:webHidden/>
              </w:rPr>
            </w:r>
            <w:r w:rsidR="004872D7">
              <w:rPr>
                <w:noProof/>
                <w:webHidden/>
              </w:rPr>
              <w:fldChar w:fldCharType="separate"/>
            </w:r>
            <w:r w:rsidR="004872D7">
              <w:rPr>
                <w:noProof/>
                <w:webHidden/>
              </w:rPr>
              <w:t>25</w:t>
            </w:r>
            <w:r w:rsidR="004872D7">
              <w:rPr>
                <w:noProof/>
                <w:webHidden/>
              </w:rPr>
              <w:fldChar w:fldCharType="end"/>
            </w:r>
          </w:hyperlink>
        </w:p>
        <w:p w14:paraId="267C3976" w14:textId="3E26E772"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4" w:history="1">
            <w:r w:rsidR="004872D7" w:rsidRPr="00A75454">
              <w:rPr>
                <w:rStyle w:val="Hipervnculo"/>
                <w:noProof/>
              </w:rPr>
              <w:t>3.3.2.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Publicación de información sensible</w:t>
            </w:r>
            <w:r w:rsidR="004872D7">
              <w:rPr>
                <w:noProof/>
                <w:webHidden/>
              </w:rPr>
              <w:tab/>
            </w:r>
            <w:r w:rsidR="004872D7">
              <w:rPr>
                <w:noProof/>
                <w:webHidden/>
              </w:rPr>
              <w:fldChar w:fldCharType="begin"/>
            </w:r>
            <w:r w:rsidR="004872D7">
              <w:rPr>
                <w:noProof/>
                <w:webHidden/>
              </w:rPr>
              <w:instrText xml:space="preserve"> PAGEREF _Toc160698854 \h </w:instrText>
            </w:r>
            <w:r w:rsidR="004872D7">
              <w:rPr>
                <w:noProof/>
                <w:webHidden/>
              </w:rPr>
            </w:r>
            <w:r w:rsidR="004872D7">
              <w:rPr>
                <w:noProof/>
                <w:webHidden/>
              </w:rPr>
              <w:fldChar w:fldCharType="separate"/>
            </w:r>
            <w:r w:rsidR="004872D7">
              <w:rPr>
                <w:noProof/>
                <w:webHidden/>
              </w:rPr>
              <w:t>25</w:t>
            </w:r>
            <w:r w:rsidR="004872D7">
              <w:rPr>
                <w:noProof/>
                <w:webHidden/>
              </w:rPr>
              <w:fldChar w:fldCharType="end"/>
            </w:r>
          </w:hyperlink>
        </w:p>
        <w:p w14:paraId="06B53E16" w14:textId="339A6E01"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5" w:history="1">
            <w:r w:rsidR="004872D7" w:rsidRPr="00A75454">
              <w:rPr>
                <w:rStyle w:val="Hipervnculo"/>
                <w:noProof/>
              </w:rPr>
              <w:t>3.3.3.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Fomento de contacto o comunicación entre competidores</w:t>
            </w:r>
            <w:r w:rsidR="004872D7">
              <w:rPr>
                <w:noProof/>
                <w:webHidden/>
              </w:rPr>
              <w:tab/>
            </w:r>
            <w:r w:rsidR="004872D7">
              <w:rPr>
                <w:noProof/>
                <w:webHidden/>
              </w:rPr>
              <w:fldChar w:fldCharType="begin"/>
            </w:r>
            <w:r w:rsidR="004872D7">
              <w:rPr>
                <w:noProof/>
                <w:webHidden/>
              </w:rPr>
              <w:instrText xml:space="preserve"> PAGEREF _Toc160698855 \h </w:instrText>
            </w:r>
            <w:r w:rsidR="004872D7">
              <w:rPr>
                <w:noProof/>
                <w:webHidden/>
              </w:rPr>
            </w:r>
            <w:r w:rsidR="004872D7">
              <w:rPr>
                <w:noProof/>
                <w:webHidden/>
              </w:rPr>
              <w:fldChar w:fldCharType="separate"/>
            </w:r>
            <w:r w:rsidR="004872D7">
              <w:rPr>
                <w:noProof/>
                <w:webHidden/>
              </w:rPr>
              <w:t>26</w:t>
            </w:r>
            <w:r w:rsidR="004872D7">
              <w:rPr>
                <w:noProof/>
                <w:webHidden/>
              </w:rPr>
              <w:fldChar w:fldCharType="end"/>
            </w:r>
          </w:hyperlink>
        </w:p>
        <w:p w14:paraId="721B79C7" w14:textId="685A24FD"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6" w:history="1">
            <w:r w:rsidR="004872D7" w:rsidRPr="00A75454">
              <w:rPr>
                <w:rStyle w:val="Hipervnculo"/>
                <w:noProof/>
              </w:rPr>
              <w:t>3.3.4.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Régimen de autorregulación o corregulación</w:t>
            </w:r>
            <w:r w:rsidR="004872D7">
              <w:rPr>
                <w:noProof/>
                <w:webHidden/>
              </w:rPr>
              <w:tab/>
            </w:r>
            <w:r w:rsidR="004872D7">
              <w:rPr>
                <w:noProof/>
                <w:webHidden/>
              </w:rPr>
              <w:fldChar w:fldCharType="begin"/>
            </w:r>
            <w:r w:rsidR="004872D7">
              <w:rPr>
                <w:noProof/>
                <w:webHidden/>
              </w:rPr>
              <w:instrText xml:space="preserve"> PAGEREF _Toc160698856 \h </w:instrText>
            </w:r>
            <w:r w:rsidR="004872D7">
              <w:rPr>
                <w:noProof/>
                <w:webHidden/>
              </w:rPr>
            </w:r>
            <w:r w:rsidR="004872D7">
              <w:rPr>
                <w:noProof/>
                <w:webHidden/>
              </w:rPr>
              <w:fldChar w:fldCharType="separate"/>
            </w:r>
            <w:r w:rsidR="004872D7">
              <w:rPr>
                <w:noProof/>
                <w:webHidden/>
              </w:rPr>
              <w:t>26</w:t>
            </w:r>
            <w:r w:rsidR="004872D7">
              <w:rPr>
                <w:noProof/>
                <w:webHidden/>
              </w:rPr>
              <w:fldChar w:fldCharType="end"/>
            </w:r>
          </w:hyperlink>
        </w:p>
        <w:p w14:paraId="231BB271" w14:textId="38426813"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57" w:history="1">
            <w:r w:rsidR="004872D7" w:rsidRPr="00A75454">
              <w:rPr>
                <w:rStyle w:val="Hipervnculo"/>
                <w:noProof/>
              </w:rPr>
              <w:t>3.4.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limitan las alternativas e información de consumidores</w:t>
            </w:r>
            <w:r w:rsidR="004872D7">
              <w:rPr>
                <w:noProof/>
                <w:webHidden/>
              </w:rPr>
              <w:tab/>
            </w:r>
            <w:r w:rsidR="004872D7">
              <w:rPr>
                <w:noProof/>
                <w:webHidden/>
              </w:rPr>
              <w:fldChar w:fldCharType="begin"/>
            </w:r>
            <w:r w:rsidR="004872D7">
              <w:rPr>
                <w:noProof/>
                <w:webHidden/>
              </w:rPr>
              <w:instrText xml:space="preserve"> PAGEREF _Toc160698857 \h </w:instrText>
            </w:r>
            <w:r w:rsidR="004872D7">
              <w:rPr>
                <w:noProof/>
                <w:webHidden/>
              </w:rPr>
            </w:r>
            <w:r w:rsidR="004872D7">
              <w:rPr>
                <w:noProof/>
                <w:webHidden/>
              </w:rPr>
              <w:fldChar w:fldCharType="separate"/>
            </w:r>
            <w:r w:rsidR="004872D7">
              <w:rPr>
                <w:noProof/>
                <w:webHidden/>
              </w:rPr>
              <w:t>26</w:t>
            </w:r>
            <w:r w:rsidR="004872D7">
              <w:rPr>
                <w:noProof/>
                <w:webHidden/>
              </w:rPr>
              <w:fldChar w:fldCharType="end"/>
            </w:r>
          </w:hyperlink>
        </w:p>
        <w:p w14:paraId="7899694C" w14:textId="1FE44831"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8" w:history="1">
            <w:r w:rsidR="004872D7" w:rsidRPr="00A75454">
              <w:rPr>
                <w:rStyle w:val="Hipervnculo"/>
                <w:noProof/>
              </w:rPr>
              <w:t>3.4.1.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Reducción de movilidad de clientes entre proveedores</w:t>
            </w:r>
            <w:r w:rsidR="004872D7">
              <w:rPr>
                <w:noProof/>
                <w:webHidden/>
              </w:rPr>
              <w:tab/>
            </w:r>
            <w:r w:rsidR="004872D7">
              <w:rPr>
                <w:noProof/>
                <w:webHidden/>
              </w:rPr>
              <w:fldChar w:fldCharType="begin"/>
            </w:r>
            <w:r w:rsidR="004872D7">
              <w:rPr>
                <w:noProof/>
                <w:webHidden/>
              </w:rPr>
              <w:instrText xml:space="preserve"> PAGEREF _Toc160698858 \h </w:instrText>
            </w:r>
            <w:r w:rsidR="004872D7">
              <w:rPr>
                <w:noProof/>
                <w:webHidden/>
              </w:rPr>
            </w:r>
            <w:r w:rsidR="004872D7">
              <w:rPr>
                <w:noProof/>
                <w:webHidden/>
              </w:rPr>
              <w:fldChar w:fldCharType="separate"/>
            </w:r>
            <w:r w:rsidR="004872D7">
              <w:rPr>
                <w:noProof/>
                <w:webHidden/>
              </w:rPr>
              <w:t>27</w:t>
            </w:r>
            <w:r w:rsidR="004872D7">
              <w:rPr>
                <w:noProof/>
                <w:webHidden/>
              </w:rPr>
              <w:fldChar w:fldCharType="end"/>
            </w:r>
          </w:hyperlink>
        </w:p>
        <w:p w14:paraId="3069770E" w14:textId="43F11C4A"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59" w:history="1">
            <w:r w:rsidR="004872D7" w:rsidRPr="00A75454">
              <w:rPr>
                <w:rStyle w:val="Hipervnculo"/>
                <w:noProof/>
              </w:rPr>
              <w:t>3.4.2.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Requisitos insuficientes de información para la toma de decisiones</w:t>
            </w:r>
            <w:r w:rsidR="004872D7">
              <w:rPr>
                <w:noProof/>
                <w:webHidden/>
              </w:rPr>
              <w:tab/>
            </w:r>
            <w:r w:rsidR="004872D7">
              <w:rPr>
                <w:noProof/>
                <w:webHidden/>
              </w:rPr>
              <w:fldChar w:fldCharType="begin"/>
            </w:r>
            <w:r w:rsidR="004872D7">
              <w:rPr>
                <w:noProof/>
                <w:webHidden/>
              </w:rPr>
              <w:instrText xml:space="preserve"> PAGEREF _Toc160698859 \h </w:instrText>
            </w:r>
            <w:r w:rsidR="004872D7">
              <w:rPr>
                <w:noProof/>
                <w:webHidden/>
              </w:rPr>
            </w:r>
            <w:r w:rsidR="004872D7">
              <w:rPr>
                <w:noProof/>
                <w:webHidden/>
              </w:rPr>
              <w:fldChar w:fldCharType="separate"/>
            </w:r>
            <w:r w:rsidR="004872D7">
              <w:rPr>
                <w:noProof/>
                <w:webHidden/>
              </w:rPr>
              <w:t>27</w:t>
            </w:r>
            <w:r w:rsidR="004872D7">
              <w:rPr>
                <w:noProof/>
                <w:webHidden/>
              </w:rPr>
              <w:fldChar w:fldCharType="end"/>
            </w:r>
          </w:hyperlink>
        </w:p>
        <w:p w14:paraId="59092409" w14:textId="25ADA25C" w:rsidR="004872D7" w:rsidRDefault="00000000">
          <w:pPr>
            <w:pStyle w:val="TDC1"/>
            <w:rPr>
              <w:rFonts w:asciiTheme="minorHAnsi" w:eastAsiaTheme="minorEastAsia" w:hAnsiTheme="minorHAnsi" w:cstheme="minorBidi"/>
              <w:noProof/>
              <w:kern w:val="2"/>
              <w:szCs w:val="24"/>
              <w:lang w:val="es-PY" w:eastAsia="es-PY"/>
              <w14:ligatures w14:val="standardContextual"/>
            </w:rPr>
          </w:pPr>
          <w:hyperlink w:anchor="_Toc160698860" w:history="1">
            <w:r w:rsidR="004872D7" w:rsidRPr="00A75454">
              <w:rPr>
                <w:rStyle w:val="Hipervnculo"/>
                <w:noProof/>
                <w:lang w:val="es-ES_tradnl"/>
              </w:rPr>
              <w:t>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lang w:val="es-ES_tradnl"/>
              </w:rPr>
              <w:t>Análisis de la justificación</w:t>
            </w:r>
            <w:r w:rsidR="004872D7">
              <w:rPr>
                <w:noProof/>
                <w:webHidden/>
              </w:rPr>
              <w:tab/>
            </w:r>
            <w:r w:rsidR="004872D7">
              <w:rPr>
                <w:noProof/>
                <w:webHidden/>
              </w:rPr>
              <w:fldChar w:fldCharType="begin"/>
            </w:r>
            <w:r w:rsidR="004872D7">
              <w:rPr>
                <w:noProof/>
                <w:webHidden/>
              </w:rPr>
              <w:instrText xml:space="preserve"> PAGEREF _Toc160698860 \h </w:instrText>
            </w:r>
            <w:r w:rsidR="004872D7">
              <w:rPr>
                <w:noProof/>
                <w:webHidden/>
              </w:rPr>
            </w:r>
            <w:r w:rsidR="004872D7">
              <w:rPr>
                <w:noProof/>
                <w:webHidden/>
              </w:rPr>
              <w:fldChar w:fldCharType="separate"/>
            </w:r>
            <w:r w:rsidR="004872D7">
              <w:rPr>
                <w:noProof/>
                <w:webHidden/>
              </w:rPr>
              <w:t>28</w:t>
            </w:r>
            <w:r w:rsidR="004872D7">
              <w:rPr>
                <w:noProof/>
                <w:webHidden/>
              </w:rPr>
              <w:fldChar w:fldCharType="end"/>
            </w:r>
          </w:hyperlink>
        </w:p>
        <w:p w14:paraId="4EB83FD7" w14:textId="7B01C897"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61" w:history="1">
            <w:r w:rsidR="004872D7" w:rsidRPr="00A75454">
              <w:rPr>
                <w:rStyle w:val="Hipervnculo"/>
                <w:noProof/>
              </w:rPr>
              <w:t>4.1.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Principio de necesidad</w:t>
            </w:r>
            <w:r w:rsidR="004872D7">
              <w:rPr>
                <w:noProof/>
                <w:webHidden/>
              </w:rPr>
              <w:tab/>
            </w:r>
            <w:r w:rsidR="004872D7">
              <w:rPr>
                <w:noProof/>
                <w:webHidden/>
              </w:rPr>
              <w:fldChar w:fldCharType="begin"/>
            </w:r>
            <w:r w:rsidR="004872D7">
              <w:rPr>
                <w:noProof/>
                <w:webHidden/>
              </w:rPr>
              <w:instrText xml:space="preserve"> PAGEREF _Toc160698861 \h </w:instrText>
            </w:r>
            <w:r w:rsidR="004872D7">
              <w:rPr>
                <w:noProof/>
                <w:webHidden/>
              </w:rPr>
            </w:r>
            <w:r w:rsidR="004872D7">
              <w:rPr>
                <w:noProof/>
                <w:webHidden/>
              </w:rPr>
              <w:fldChar w:fldCharType="separate"/>
            </w:r>
            <w:r w:rsidR="004872D7">
              <w:rPr>
                <w:noProof/>
                <w:webHidden/>
              </w:rPr>
              <w:t>28</w:t>
            </w:r>
            <w:r w:rsidR="004872D7">
              <w:rPr>
                <w:noProof/>
                <w:webHidden/>
              </w:rPr>
              <w:fldChar w:fldCharType="end"/>
            </w:r>
          </w:hyperlink>
        </w:p>
        <w:p w14:paraId="0D75FB64" w14:textId="47F84F3C"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62" w:history="1">
            <w:r w:rsidR="004872D7" w:rsidRPr="00A75454">
              <w:rPr>
                <w:rStyle w:val="Hipervnculo"/>
                <w:noProof/>
              </w:rPr>
              <w:t>4.1.1.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Admisibilidad del objetivo</w:t>
            </w:r>
            <w:r w:rsidR="004872D7">
              <w:rPr>
                <w:noProof/>
                <w:webHidden/>
              </w:rPr>
              <w:tab/>
            </w:r>
            <w:r w:rsidR="004872D7">
              <w:rPr>
                <w:noProof/>
                <w:webHidden/>
              </w:rPr>
              <w:fldChar w:fldCharType="begin"/>
            </w:r>
            <w:r w:rsidR="004872D7">
              <w:rPr>
                <w:noProof/>
                <w:webHidden/>
              </w:rPr>
              <w:instrText xml:space="preserve"> PAGEREF _Toc160698862 \h </w:instrText>
            </w:r>
            <w:r w:rsidR="004872D7">
              <w:rPr>
                <w:noProof/>
                <w:webHidden/>
              </w:rPr>
            </w:r>
            <w:r w:rsidR="004872D7">
              <w:rPr>
                <w:noProof/>
                <w:webHidden/>
              </w:rPr>
              <w:fldChar w:fldCharType="separate"/>
            </w:r>
            <w:r w:rsidR="004872D7">
              <w:rPr>
                <w:noProof/>
                <w:webHidden/>
              </w:rPr>
              <w:t>29</w:t>
            </w:r>
            <w:r w:rsidR="004872D7">
              <w:rPr>
                <w:noProof/>
                <w:webHidden/>
              </w:rPr>
              <w:fldChar w:fldCharType="end"/>
            </w:r>
          </w:hyperlink>
        </w:p>
        <w:p w14:paraId="0239EE78" w14:textId="2CD075B3"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63" w:history="1">
            <w:r w:rsidR="004872D7" w:rsidRPr="00A75454">
              <w:rPr>
                <w:rStyle w:val="Hipervnculo"/>
                <w:noProof/>
              </w:rPr>
              <w:t>4.1.2.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Efectividad de la norma</w:t>
            </w:r>
            <w:r w:rsidR="004872D7">
              <w:rPr>
                <w:noProof/>
                <w:webHidden/>
              </w:rPr>
              <w:tab/>
            </w:r>
            <w:r w:rsidR="004872D7">
              <w:rPr>
                <w:noProof/>
                <w:webHidden/>
              </w:rPr>
              <w:fldChar w:fldCharType="begin"/>
            </w:r>
            <w:r w:rsidR="004872D7">
              <w:rPr>
                <w:noProof/>
                <w:webHidden/>
              </w:rPr>
              <w:instrText xml:space="preserve"> PAGEREF _Toc160698863 \h </w:instrText>
            </w:r>
            <w:r w:rsidR="004872D7">
              <w:rPr>
                <w:noProof/>
                <w:webHidden/>
              </w:rPr>
            </w:r>
            <w:r w:rsidR="004872D7">
              <w:rPr>
                <w:noProof/>
                <w:webHidden/>
              </w:rPr>
              <w:fldChar w:fldCharType="separate"/>
            </w:r>
            <w:r w:rsidR="004872D7">
              <w:rPr>
                <w:noProof/>
                <w:webHidden/>
              </w:rPr>
              <w:t>30</w:t>
            </w:r>
            <w:r w:rsidR="004872D7">
              <w:rPr>
                <w:noProof/>
                <w:webHidden/>
              </w:rPr>
              <w:fldChar w:fldCharType="end"/>
            </w:r>
          </w:hyperlink>
        </w:p>
        <w:p w14:paraId="037E1B7C" w14:textId="6E9E5A3D"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64" w:history="1">
            <w:r w:rsidR="004872D7" w:rsidRPr="00A75454">
              <w:rPr>
                <w:rStyle w:val="Hipervnculo"/>
                <w:noProof/>
              </w:rPr>
              <w:t>4.2.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Principio de proporcionalidad</w:t>
            </w:r>
            <w:r w:rsidR="004872D7">
              <w:rPr>
                <w:noProof/>
                <w:webHidden/>
              </w:rPr>
              <w:tab/>
            </w:r>
            <w:r w:rsidR="004872D7">
              <w:rPr>
                <w:noProof/>
                <w:webHidden/>
              </w:rPr>
              <w:fldChar w:fldCharType="begin"/>
            </w:r>
            <w:r w:rsidR="004872D7">
              <w:rPr>
                <w:noProof/>
                <w:webHidden/>
              </w:rPr>
              <w:instrText xml:space="preserve"> PAGEREF _Toc160698864 \h </w:instrText>
            </w:r>
            <w:r w:rsidR="004872D7">
              <w:rPr>
                <w:noProof/>
                <w:webHidden/>
              </w:rPr>
            </w:r>
            <w:r w:rsidR="004872D7">
              <w:rPr>
                <w:noProof/>
                <w:webHidden/>
              </w:rPr>
              <w:fldChar w:fldCharType="separate"/>
            </w:r>
            <w:r w:rsidR="004872D7">
              <w:rPr>
                <w:noProof/>
                <w:webHidden/>
              </w:rPr>
              <w:t>30</w:t>
            </w:r>
            <w:r w:rsidR="004872D7">
              <w:rPr>
                <w:noProof/>
                <w:webHidden/>
              </w:rPr>
              <w:fldChar w:fldCharType="end"/>
            </w:r>
          </w:hyperlink>
        </w:p>
        <w:p w14:paraId="17F105C5" w14:textId="37BADC29"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65" w:history="1">
            <w:r w:rsidR="004872D7" w:rsidRPr="00A75454">
              <w:rPr>
                <w:rStyle w:val="Hipervnculo"/>
                <w:noProof/>
              </w:rPr>
              <w:t>4.3.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Otros principios</w:t>
            </w:r>
            <w:r w:rsidR="004872D7">
              <w:rPr>
                <w:noProof/>
                <w:webHidden/>
              </w:rPr>
              <w:tab/>
            </w:r>
            <w:r w:rsidR="004872D7">
              <w:rPr>
                <w:noProof/>
                <w:webHidden/>
              </w:rPr>
              <w:fldChar w:fldCharType="begin"/>
            </w:r>
            <w:r w:rsidR="004872D7">
              <w:rPr>
                <w:noProof/>
                <w:webHidden/>
              </w:rPr>
              <w:instrText xml:space="preserve"> PAGEREF _Toc160698865 \h </w:instrText>
            </w:r>
            <w:r w:rsidR="004872D7">
              <w:rPr>
                <w:noProof/>
                <w:webHidden/>
              </w:rPr>
            </w:r>
            <w:r w:rsidR="004872D7">
              <w:rPr>
                <w:noProof/>
                <w:webHidden/>
              </w:rPr>
              <w:fldChar w:fldCharType="separate"/>
            </w:r>
            <w:r w:rsidR="004872D7">
              <w:rPr>
                <w:noProof/>
                <w:webHidden/>
              </w:rPr>
              <w:t>31</w:t>
            </w:r>
            <w:r w:rsidR="004872D7">
              <w:rPr>
                <w:noProof/>
                <w:webHidden/>
              </w:rPr>
              <w:fldChar w:fldCharType="end"/>
            </w:r>
          </w:hyperlink>
        </w:p>
        <w:p w14:paraId="14771700" w14:textId="52593DC3"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66" w:history="1">
            <w:r w:rsidR="004872D7" w:rsidRPr="00A75454">
              <w:rPr>
                <w:rStyle w:val="Hipervnculo"/>
                <w:noProof/>
              </w:rPr>
              <w:t>4.3.1.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Principio de neutralidad</w:t>
            </w:r>
            <w:r w:rsidR="004872D7">
              <w:rPr>
                <w:noProof/>
                <w:webHidden/>
              </w:rPr>
              <w:tab/>
            </w:r>
            <w:r w:rsidR="004872D7">
              <w:rPr>
                <w:noProof/>
                <w:webHidden/>
              </w:rPr>
              <w:fldChar w:fldCharType="begin"/>
            </w:r>
            <w:r w:rsidR="004872D7">
              <w:rPr>
                <w:noProof/>
                <w:webHidden/>
              </w:rPr>
              <w:instrText xml:space="preserve"> PAGEREF _Toc160698866 \h </w:instrText>
            </w:r>
            <w:r w:rsidR="004872D7">
              <w:rPr>
                <w:noProof/>
                <w:webHidden/>
              </w:rPr>
            </w:r>
            <w:r w:rsidR="004872D7">
              <w:rPr>
                <w:noProof/>
                <w:webHidden/>
              </w:rPr>
              <w:fldChar w:fldCharType="separate"/>
            </w:r>
            <w:r w:rsidR="004872D7">
              <w:rPr>
                <w:noProof/>
                <w:webHidden/>
              </w:rPr>
              <w:t>31</w:t>
            </w:r>
            <w:r w:rsidR="004872D7">
              <w:rPr>
                <w:noProof/>
                <w:webHidden/>
              </w:rPr>
              <w:fldChar w:fldCharType="end"/>
            </w:r>
          </w:hyperlink>
        </w:p>
        <w:p w14:paraId="37BA0752" w14:textId="54CF7DDB"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67" w:history="1">
            <w:r w:rsidR="004872D7" w:rsidRPr="00A75454">
              <w:rPr>
                <w:rStyle w:val="Hipervnculo"/>
                <w:noProof/>
              </w:rPr>
              <w:t>4.3.2.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Principios formales</w:t>
            </w:r>
            <w:r w:rsidR="004872D7">
              <w:rPr>
                <w:noProof/>
                <w:webHidden/>
              </w:rPr>
              <w:tab/>
            </w:r>
            <w:r w:rsidR="004872D7">
              <w:rPr>
                <w:noProof/>
                <w:webHidden/>
              </w:rPr>
              <w:fldChar w:fldCharType="begin"/>
            </w:r>
            <w:r w:rsidR="004872D7">
              <w:rPr>
                <w:noProof/>
                <w:webHidden/>
              </w:rPr>
              <w:instrText xml:space="preserve"> PAGEREF _Toc160698867 \h </w:instrText>
            </w:r>
            <w:r w:rsidR="004872D7">
              <w:rPr>
                <w:noProof/>
                <w:webHidden/>
              </w:rPr>
            </w:r>
            <w:r w:rsidR="004872D7">
              <w:rPr>
                <w:noProof/>
                <w:webHidden/>
              </w:rPr>
              <w:fldChar w:fldCharType="separate"/>
            </w:r>
            <w:r w:rsidR="004872D7">
              <w:rPr>
                <w:noProof/>
                <w:webHidden/>
              </w:rPr>
              <w:t>32</w:t>
            </w:r>
            <w:r w:rsidR="004872D7">
              <w:rPr>
                <w:noProof/>
                <w:webHidden/>
              </w:rPr>
              <w:fldChar w:fldCharType="end"/>
            </w:r>
          </w:hyperlink>
        </w:p>
        <w:p w14:paraId="76B7AC57" w14:textId="114216BA" w:rsidR="004872D7" w:rsidRDefault="00000000">
          <w:pPr>
            <w:pStyle w:val="TDC1"/>
            <w:rPr>
              <w:rFonts w:asciiTheme="minorHAnsi" w:eastAsiaTheme="minorEastAsia" w:hAnsiTheme="minorHAnsi" w:cstheme="minorBidi"/>
              <w:noProof/>
              <w:kern w:val="2"/>
              <w:szCs w:val="24"/>
              <w:lang w:val="es-PY" w:eastAsia="es-PY"/>
              <w14:ligatures w14:val="standardContextual"/>
            </w:rPr>
          </w:pPr>
          <w:hyperlink w:anchor="_Toc160698868" w:history="1">
            <w:r w:rsidR="004872D7" w:rsidRPr="00A75454">
              <w:rPr>
                <w:rStyle w:val="Hipervnculo"/>
                <w:noProof/>
                <w:lang w:val="es-ES_tradnl"/>
              </w:rPr>
              <w:t>5.</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lang w:val="es-ES_tradnl"/>
              </w:rPr>
              <w:t>Buenas prácticas para la regulación con criterios de competencia</w:t>
            </w:r>
            <w:r w:rsidR="004872D7">
              <w:rPr>
                <w:noProof/>
                <w:webHidden/>
              </w:rPr>
              <w:tab/>
            </w:r>
            <w:r w:rsidR="004872D7">
              <w:rPr>
                <w:noProof/>
                <w:webHidden/>
              </w:rPr>
              <w:fldChar w:fldCharType="begin"/>
            </w:r>
            <w:r w:rsidR="004872D7">
              <w:rPr>
                <w:noProof/>
                <w:webHidden/>
              </w:rPr>
              <w:instrText xml:space="preserve"> PAGEREF _Toc160698868 \h </w:instrText>
            </w:r>
            <w:r w:rsidR="004872D7">
              <w:rPr>
                <w:noProof/>
                <w:webHidden/>
              </w:rPr>
            </w:r>
            <w:r w:rsidR="004872D7">
              <w:rPr>
                <w:noProof/>
                <w:webHidden/>
              </w:rPr>
              <w:fldChar w:fldCharType="separate"/>
            </w:r>
            <w:r w:rsidR="004872D7">
              <w:rPr>
                <w:noProof/>
                <w:webHidden/>
              </w:rPr>
              <w:t>34</w:t>
            </w:r>
            <w:r w:rsidR="004872D7">
              <w:rPr>
                <w:noProof/>
                <w:webHidden/>
              </w:rPr>
              <w:fldChar w:fldCharType="end"/>
            </w:r>
          </w:hyperlink>
        </w:p>
        <w:p w14:paraId="7F5B7C23" w14:textId="57A9ED01"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69" w:history="1">
            <w:r w:rsidR="004872D7" w:rsidRPr="00A75454">
              <w:rPr>
                <w:rStyle w:val="Hipervnculo"/>
                <w:noProof/>
              </w:rPr>
              <w:t>5.1.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Obtención de datos precisos</w:t>
            </w:r>
            <w:r w:rsidR="004872D7">
              <w:rPr>
                <w:noProof/>
                <w:webHidden/>
              </w:rPr>
              <w:tab/>
            </w:r>
            <w:r w:rsidR="004872D7">
              <w:rPr>
                <w:noProof/>
                <w:webHidden/>
              </w:rPr>
              <w:fldChar w:fldCharType="begin"/>
            </w:r>
            <w:r w:rsidR="004872D7">
              <w:rPr>
                <w:noProof/>
                <w:webHidden/>
              </w:rPr>
              <w:instrText xml:space="preserve"> PAGEREF _Toc160698869 \h </w:instrText>
            </w:r>
            <w:r w:rsidR="004872D7">
              <w:rPr>
                <w:noProof/>
                <w:webHidden/>
              </w:rPr>
            </w:r>
            <w:r w:rsidR="004872D7">
              <w:rPr>
                <w:noProof/>
                <w:webHidden/>
              </w:rPr>
              <w:fldChar w:fldCharType="separate"/>
            </w:r>
            <w:r w:rsidR="004872D7">
              <w:rPr>
                <w:noProof/>
                <w:webHidden/>
              </w:rPr>
              <w:t>34</w:t>
            </w:r>
            <w:r w:rsidR="004872D7">
              <w:rPr>
                <w:noProof/>
                <w:webHidden/>
              </w:rPr>
              <w:fldChar w:fldCharType="end"/>
            </w:r>
          </w:hyperlink>
        </w:p>
        <w:p w14:paraId="73B658B3" w14:textId="3EE9FE2D"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70" w:history="1">
            <w:r w:rsidR="004872D7" w:rsidRPr="00A75454">
              <w:rPr>
                <w:rStyle w:val="Hipervnculo"/>
                <w:noProof/>
              </w:rPr>
              <w:t>5.2.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Análisis previo</w:t>
            </w:r>
            <w:r w:rsidR="004872D7">
              <w:rPr>
                <w:noProof/>
                <w:webHidden/>
              </w:rPr>
              <w:tab/>
            </w:r>
            <w:r w:rsidR="004872D7">
              <w:rPr>
                <w:noProof/>
                <w:webHidden/>
              </w:rPr>
              <w:fldChar w:fldCharType="begin"/>
            </w:r>
            <w:r w:rsidR="004872D7">
              <w:rPr>
                <w:noProof/>
                <w:webHidden/>
              </w:rPr>
              <w:instrText xml:space="preserve"> PAGEREF _Toc160698870 \h </w:instrText>
            </w:r>
            <w:r w:rsidR="004872D7">
              <w:rPr>
                <w:noProof/>
                <w:webHidden/>
              </w:rPr>
            </w:r>
            <w:r w:rsidR="004872D7">
              <w:rPr>
                <w:noProof/>
                <w:webHidden/>
              </w:rPr>
              <w:fldChar w:fldCharType="separate"/>
            </w:r>
            <w:r w:rsidR="004872D7">
              <w:rPr>
                <w:noProof/>
                <w:webHidden/>
              </w:rPr>
              <w:t>34</w:t>
            </w:r>
            <w:r w:rsidR="004872D7">
              <w:rPr>
                <w:noProof/>
                <w:webHidden/>
              </w:rPr>
              <w:fldChar w:fldCharType="end"/>
            </w:r>
          </w:hyperlink>
        </w:p>
        <w:p w14:paraId="3575D353" w14:textId="0A7A46BE"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71" w:history="1">
            <w:r w:rsidR="004872D7" w:rsidRPr="00A75454">
              <w:rPr>
                <w:rStyle w:val="Hipervnculo"/>
                <w:noProof/>
              </w:rPr>
              <w:t>5.3.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Coordinación intermunicipal, departamental y nacional</w:t>
            </w:r>
            <w:r w:rsidR="004872D7">
              <w:rPr>
                <w:noProof/>
                <w:webHidden/>
              </w:rPr>
              <w:tab/>
            </w:r>
            <w:r w:rsidR="004872D7">
              <w:rPr>
                <w:noProof/>
                <w:webHidden/>
              </w:rPr>
              <w:fldChar w:fldCharType="begin"/>
            </w:r>
            <w:r w:rsidR="004872D7">
              <w:rPr>
                <w:noProof/>
                <w:webHidden/>
              </w:rPr>
              <w:instrText xml:space="preserve"> PAGEREF _Toc160698871 \h </w:instrText>
            </w:r>
            <w:r w:rsidR="004872D7">
              <w:rPr>
                <w:noProof/>
                <w:webHidden/>
              </w:rPr>
            </w:r>
            <w:r w:rsidR="004872D7">
              <w:rPr>
                <w:noProof/>
                <w:webHidden/>
              </w:rPr>
              <w:fldChar w:fldCharType="separate"/>
            </w:r>
            <w:r w:rsidR="004872D7">
              <w:rPr>
                <w:noProof/>
                <w:webHidden/>
              </w:rPr>
              <w:t>34</w:t>
            </w:r>
            <w:r w:rsidR="004872D7">
              <w:rPr>
                <w:noProof/>
                <w:webHidden/>
              </w:rPr>
              <w:fldChar w:fldCharType="end"/>
            </w:r>
          </w:hyperlink>
        </w:p>
        <w:p w14:paraId="0438DA38" w14:textId="0C232F29"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72" w:history="1">
            <w:r w:rsidR="004872D7" w:rsidRPr="00A75454">
              <w:rPr>
                <w:rStyle w:val="Hipervnculo"/>
                <w:noProof/>
              </w:rPr>
              <w:t>5.4.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Monitoreo y evaluación</w:t>
            </w:r>
            <w:r w:rsidR="004872D7">
              <w:rPr>
                <w:noProof/>
                <w:webHidden/>
              </w:rPr>
              <w:tab/>
            </w:r>
            <w:r w:rsidR="004872D7">
              <w:rPr>
                <w:noProof/>
                <w:webHidden/>
              </w:rPr>
              <w:fldChar w:fldCharType="begin"/>
            </w:r>
            <w:r w:rsidR="004872D7">
              <w:rPr>
                <w:noProof/>
                <w:webHidden/>
              </w:rPr>
              <w:instrText xml:space="preserve"> PAGEREF _Toc160698872 \h </w:instrText>
            </w:r>
            <w:r w:rsidR="004872D7">
              <w:rPr>
                <w:noProof/>
                <w:webHidden/>
              </w:rPr>
            </w:r>
            <w:r w:rsidR="004872D7">
              <w:rPr>
                <w:noProof/>
                <w:webHidden/>
              </w:rPr>
              <w:fldChar w:fldCharType="separate"/>
            </w:r>
            <w:r w:rsidR="004872D7">
              <w:rPr>
                <w:noProof/>
                <w:webHidden/>
              </w:rPr>
              <w:t>35</w:t>
            </w:r>
            <w:r w:rsidR="004872D7">
              <w:rPr>
                <w:noProof/>
                <w:webHidden/>
              </w:rPr>
              <w:fldChar w:fldCharType="end"/>
            </w:r>
          </w:hyperlink>
        </w:p>
        <w:p w14:paraId="14183943" w14:textId="4BC58351"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73" w:history="1">
            <w:r w:rsidR="004872D7" w:rsidRPr="00A75454">
              <w:rPr>
                <w:rStyle w:val="Hipervnculo"/>
                <w:noProof/>
              </w:rPr>
              <w:t>5.5.</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Corrección de medidas</w:t>
            </w:r>
            <w:r w:rsidR="004872D7">
              <w:rPr>
                <w:noProof/>
                <w:webHidden/>
              </w:rPr>
              <w:tab/>
            </w:r>
            <w:r w:rsidR="004872D7">
              <w:rPr>
                <w:noProof/>
                <w:webHidden/>
              </w:rPr>
              <w:fldChar w:fldCharType="begin"/>
            </w:r>
            <w:r w:rsidR="004872D7">
              <w:rPr>
                <w:noProof/>
                <w:webHidden/>
              </w:rPr>
              <w:instrText xml:space="preserve"> PAGEREF _Toc160698873 \h </w:instrText>
            </w:r>
            <w:r w:rsidR="004872D7">
              <w:rPr>
                <w:noProof/>
                <w:webHidden/>
              </w:rPr>
            </w:r>
            <w:r w:rsidR="004872D7">
              <w:rPr>
                <w:noProof/>
                <w:webHidden/>
              </w:rPr>
              <w:fldChar w:fldCharType="separate"/>
            </w:r>
            <w:r w:rsidR="004872D7">
              <w:rPr>
                <w:noProof/>
                <w:webHidden/>
              </w:rPr>
              <w:t>35</w:t>
            </w:r>
            <w:r w:rsidR="004872D7">
              <w:rPr>
                <w:noProof/>
                <w:webHidden/>
              </w:rPr>
              <w:fldChar w:fldCharType="end"/>
            </w:r>
          </w:hyperlink>
        </w:p>
        <w:p w14:paraId="00598B8C" w14:textId="22F9BAAC" w:rsidR="004872D7" w:rsidRDefault="00000000">
          <w:pPr>
            <w:pStyle w:val="TDC1"/>
            <w:rPr>
              <w:rFonts w:asciiTheme="minorHAnsi" w:eastAsiaTheme="minorEastAsia" w:hAnsiTheme="minorHAnsi" w:cstheme="minorBidi"/>
              <w:noProof/>
              <w:kern w:val="2"/>
              <w:szCs w:val="24"/>
              <w:lang w:val="es-PY" w:eastAsia="es-PY"/>
              <w14:ligatures w14:val="standardContextual"/>
            </w:rPr>
          </w:pPr>
          <w:hyperlink w:anchor="_Toc160698874" w:history="1">
            <w:r w:rsidR="004872D7" w:rsidRPr="00A75454">
              <w:rPr>
                <w:rStyle w:val="Hipervnculo"/>
                <w:noProof/>
                <w:lang w:val="es-ES_tradnl"/>
              </w:rPr>
              <w:t>6.</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lang w:val="es-ES_tradnl"/>
              </w:rPr>
              <w:t>¿Cómo puede asistir la CONACOM en la tarea regulatoria?</w:t>
            </w:r>
            <w:r w:rsidR="004872D7">
              <w:rPr>
                <w:noProof/>
                <w:webHidden/>
              </w:rPr>
              <w:tab/>
            </w:r>
            <w:r w:rsidR="004872D7">
              <w:rPr>
                <w:noProof/>
                <w:webHidden/>
              </w:rPr>
              <w:fldChar w:fldCharType="begin"/>
            </w:r>
            <w:r w:rsidR="004872D7">
              <w:rPr>
                <w:noProof/>
                <w:webHidden/>
              </w:rPr>
              <w:instrText xml:space="preserve"> PAGEREF _Toc160698874 \h </w:instrText>
            </w:r>
            <w:r w:rsidR="004872D7">
              <w:rPr>
                <w:noProof/>
                <w:webHidden/>
              </w:rPr>
            </w:r>
            <w:r w:rsidR="004872D7">
              <w:rPr>
                <w:noProof/>
                <w:webHidden/>
              </w:rPr>
              <w:fldChar w:fldCharType="separate"/>
            </w:r>
            <w:r w:rsidR="004872D7">
              <w:rPr>
                <w:noProof/>
                <w:webHidden/>
              </w:rPr>
              <w:t>36</w:t>
            </w:r>
            <w:r w:rsidR="004872D7">
              <w:rPr>
                <w:noProof/>
                <w:webHidden/>
              </w:rPr>
              <w:fldChar w:fldCharType="end"/>
            </w:r>
          </w:hyperlink>
        </w:p>
        <w:p w14:paraId="064B22ED" w14:textId="658C6AE4" w:rsidR="004872D7" w:rsidRDefault="00000000">
          <w:pPr>
            <w:pStyle w:val="TDC1"/>
            <w:rPr>
              <w:rFonts w:asciiTheme="minorHAnsi" w:eastAsiaTheme="minorEastAsia" w:hAnsiTheme="minorHAnsi" w:cstheme="minorBidi"/>
              <w:noProof/>
              <w:kern w:val="2"/>
              <w:szCs w:val="24"/>
              <w:lang w:val="es-PY" w:eastAsia="es-PY"/>
              <w14:ligatures w14:val="standardContextual"/>
            </w:rPr>
          </w:pPr>
          <w:hyperlink w:anchor="_Toc160698875" w:history="1">
            <w:r w:rsidR="004872D7" w:rsidRPr="00A75454">
              <w:rPr>
                <w:rStyle w:val="Hipervnculo"/>
                <w:noProof/>
                <w:lang w:val="es-ES_tradnl"/>
              </w:rPr>
              <w:t>7.</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lang w:val="es-ES_tradnl"/>
              </w:rPr>
              <w:t>Ejemplos</w:t>
            </w:r>
            <w:r w:rsidR="004872D7">
              <w:rPr>
                <w:noProof/>
                <w:webHidden/>
              </w:rPr>
              <w:tab/>
            </w:r>
            <w:r w:rsidR="004872D7">
              <w:rPr>
                <w:noProof/>
                <w:webHidden/>
              </w:rPr>
              <w:fldChar w:fldCharType="begin"/>
            </w:r>
            <w:r w:rsidR="004872D7">
              <w:rPr>
                <w:noProof/>
                <w:webHidden/>
              </w:rPr>
              <w:instrText xml:space="preserve"> PAGEREF _Toc160698875 \h </w:instrText>
            </w:r>
            <w:r w:rsidR="004872D7">
              <w:rPr>
                <w:noProof/>
                <w:webHidden/>
              </w:rPr>
            </w:r>
            <w:r w:rsidR="004872D7">
              <w:rPr>
                <w:noProof/>
                <w:webHidden/>
              </w:rPr>
              <w:fldChar w:fldCharType="separate"/>
            </w:r>
            <w:r w:rsidR="004872D7">
              <w:rPr>
                <w:noProof/>
                <w:webHidden/>
              </w:rPr>
              <w:t>37</w:t>
            </w:r>
            <w:r w:rsidR="004872D7">
              <w:rPr>
                <w:noProof/>
                <w:webHidden/>
              </w:rPr>
              <w:fldChar w:fldCharType="end"/>
            </w:r>
          </w:hyperlink>
        </w:p>
        <w:p w14:paraId="0B877FE5" w14:textId="27BB2663"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76" w:history="1">
            <w:r w:rsidR="004872D7" w:rsidRPr="00A75454">
              <w:rPr>
                <w:rStyle w:val="Hipervnculo"/>
                <w:noProof/>
              </w:rPr>
              <w:t>7.1.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limitan la cantidad de proveedores</w:t>
            </w:r>
            <w:r w:rsidR="004872D7">
              <w:rPr>
                <w:noProof/>
                <w:webHidden/>
              </w:rPr>
              <w:tab/>
            </w:r>
            <w:r w:rsidR="004872D7">
              <w:rPr>
                <w:noProof/>
                <w:webHidden/>
              </w:rPr>
              <w:fldChar w:fldCharType="begin"/>
            </w:r>
            <w:r w:rsidR="004872D7">
              <w:rPr>
                <w:noProof/>
                <w:webHidden/>
              </w:rPr>
              <w:instrText xml:space="preserve"> PAGEREF _Toc160698876 \h </w:instrText>
            </w:r>
            <w:r w:rsidR="004872D7">
              <w:rPr>
                <w:noProof/>
                <w:webHidden/>
              </w:rPr>
            </w:r>
            <w:r w:rsidR="004872D7">
              <w:rPr>
                <w:noProof/>
                <w:webHidden/>
              </w:rPr>
              <w:fldChar w:fldCharType="separate"/>
            </w:r>
            <w:r w:rsidR="004872D7">
              <w:rPr>
                <w:noProof/>
                <w:webHidden/>
              </w:rPr>
              <w:t>37</w:t>
            </w:r>
            <w:r w:rsidR="004872D7">
              <w:rPr>
                <w:noProof/>
                <w:webHidden/>
              </w:rPr>
              <w:fldChar w:fldCharType="end"/>
            </w:r>
          </w:hyperlink>
        </w:p>
        <w:p w14:paraId="684232F7" w14:textId="2E0BCDB5"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77" w:history="1">
            <w:r w:rsidR="004872D7" w:rsidRPr="00A75454">
              <w:rPr>
                <w:rStyle w:val="Hipervnculo"/>
                <w:noProof/>
              </w:rPr>
              <w:t>7.1.1.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Derechos exclusivos</w:t>
            </w:r>
            <w:r w:rsidR="004872D7">
              <w:rPr>
                <w:noProof/>
                <w:webHidden/>
              </w:rPr>
              <w:tab/>
            </w:r>
            <w:r w:rsidR="004872D7">
              <w:rPr>
                <w:noProof/>
                <w:webHidden/>
              </w:rPr>
              <w:fldChar w:fldCharType="begin"/>
            </w:r>
            <w:r w:rsidR="004872D7">
              <w:rPr>
                <w:noProof/>
                <w:webHidden/>
              </w:rPr>
              <w:instrText xml:space="preserve"> PAGEREF _Toc160698877 \h </w:instrText>
            </w:r>
            <w:r w:rsidR="004872D7">
              <w:rPr>
                <w:noProof/>
                <w:webHidden/>
              </w:rPr>
            </w:r>
            <w:r w:rsidR="004872D7">
              <w:rPr>
                <w:noProof/>
                <w:webHidden/>
              </w:rPr>
              <w:fldChar w:fldCharType="separate"/>
            </w:r>
            <w:r w:rsidR="004872D7">
              <w:rPr>
                <w:noProof/>
                <w:webHidden/>
              </w:rPr>
              <w:t>37</w:t>
            </w:r>
            <w:r w:rsidR="004872D7">
              <w:rPr>
                <w:noProof/>
                <w:webHidden/>
              </w:rPr>
              <w:fldChar w:fldCharType="end"/>
            </w:r>
          </w:hyperlink>
        </w:p>
        <w:p w14:paraId="4EAA1F49" w14:textId="57B45DA3"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78" w:history="1">
            <w:r w:rsidR="004872D7" w:rsidRPr="00A75454">
              <w:rPr>
                <w:rStyle w:val="Hipervnculo"/>
                <w:noProof/>
              </w:rPr>
              <w:t>7.1.2.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Requisitos de una habilitación</w:t>
            </w:r>
            <w:r w:rsidR="004872D7">
              <w:rPr>
                <w:noProof/>
                <w:webHidden/>
              </w:rPr>
              <w:tab/>
            </w:r>
            <w:r w:rsidR="004872D7">
              <w:rPr>
                <w:noProof/>
                <w:webHidden/>
              </w:rPr>
              <w:fldChar w:fldCharType="begin"/>
            </w:r>
            <w:r w:rsidR="004872D7">
              <w:rPr>
                <w:noProof/>
                <w:webHidden/>
              </w:rPr>
              <w:instrText xml:space="preserve"> PAGEREF _Toc160698878 \h </w:instrText>
            </w:r>
            <w:r w:rsidR="004872D7">
              <w:rPr>
                <w:noProof/>
                <w:webHidden/>
              </w:rPr>
            </w:r>
            <w:r w:rsidR="004872D7">
              <w:rPr>
                <w:noProof/>
                <w:webHidden/>
              </w:rPr>
              <w:fldChar w:fldCharType="separate"/>
            </w:r>
            <w:r w:rsidR="004872D7">
              <w:rPr>
                <w:noProof/>
                <w:webHidden/>
              </w:rPr>
              <w:t>38</w:t>
            </w:r>
            <w:r w:rsidR="004872D7">
              <w:rPr>
                <w:noProof/>
                <w:webHidden/>
              </w:rPr>
              <w:fldChar w:fldCharType="end"/>
            </w:r>
          </w:hyperlink>
        </w:p>
        <w:p w14:paraId="6F7F04BD" w14:textId="037F45F2"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79" w:history="1">
            <w:r w:rsidR="004872D7" w:rsidRPr="00A75454">
              <w:rPr>
                <w:rStyle w:val="Hipervnculo"/>
                <w:noProof/>
              </w:rPr>
              <w:t>7.1.3.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Cantidad limitada de competidores</w:t>
            </w:r>
            <w:r w:rsidR="004872D7">
              <w:rPr>
                <w:noProof/>
                <w:webHidden/>
              </w:rPr>
              <w:tab/>
            </w:r>
            <w:r w:rsidR="004872D7">
              <w:rPr>
                <w:noProof/>
                <w:webHidden/>
              </w:rPr>
              <w:fldChar w:fldCharType="begin"/>
            </w:r>
            <w:r w:rsidR="004872D7">
              <w:rPr>
                <w:noProof/>
                <w:webHidden/>
              </w:rPr>
              <w:instrText xml:space="preserve"> PAGEREF _Toc160698879 \h </w:instrText>
            </w:r>
            <w:r w:rsidR="004872D7">
              <w:rPr>
                <w:noProof/>
                <w:webHidden/>
              </w:rPr>
            </w:r>
            <w:r w:rsidR="004872D7">
              <w:rPr>
                <w:noProof/>
                <w:webHidden/>
              </w:rPr>
              <w:fldChar w:fldCharType="separate"/>
            </w:r>
            <w:r w:rsidR="004872D7">
              <w:rPr>
                <w:noProof/>
                <w:webHidden/>
              </w:rPr>
              <w:t>38</w:t>
            </w:r>
            <w:r w:rsidR="004872D7">
              <w:rPr>
                <w:noProof/>
                <w:webHidden/>
              </w:rPr>
              <w:fldChar w:fldCharType="end"/>
            </w:r>
          </w:hyperlink>
        </w:p>
        <w:p w14:paraId="76E5C2F7" w14:textId="28A8D48A"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0" w:history="1">
            <w:r w:rsidR="004872D7" w:rsidRPr="00A75454">
              <w:rPr>
                <w:rStyle w:val="Hipervnculo"/>
                <w:noProof/>
              </w:rPr>
              <w:t>7.1.4.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Limitación de capacidad de proveer un bien o servicio</w:t>
            </w:r>
            <w:r w:rsidR="004872D7">
              <w:rPr>
                <w:noProof/>
                <w:webHidden/>
              </w:rPr>
              <w:tab/>
            </w:r>
            <w:r w:rsidR="004872D7">
              <w:rPr>
                <w:noProof/>
                <w:webHidden/>
              </w:rPr>
              <w:fldChar w:fldCharType="begin"/>
            </w:r>
            <w:r w:rsidR="004872D7">
              <w:rPr>
                <w:noProof/>
                <w:webHidden/>
              </w:rPr>
              <w:instrText xml:space="preserve"> PAGEREF _Toc160698880 \h </w:instrText>
            </w:r>
            <w:r w:rsidR="004872D7">
              <w:rPr>
                <w:noProof/>
                <w:webHidden/>
              </w:rPr>
            </w:r>
            <w:r w:rsidR="004872D7">
              <w:rPr>
                <w:noProof/>
                <w:webHidden/>
              </w:rPr>
              <w:fldChar w:fldCharType="separate"/>
            </w:r>
            <w:r w:rsidR="004872D7">
              <w:rPr>
                <w:noProof/>
                <w:webHidden/>
              </w:rPr>
              <w:t>38</w:t>
            </w:r>
            <w:r w:rsidR="004872D7">
              <w:rPr>
                <w:noProof/>
                <w:webHidden/>
              </w:rPr>
              <w:fldChar w:fldCharType="end"/>
            </w:r>
          </w:hyperlink>
        </w:p>
        <w:p w14:paraId="677564C1" w14:textId="043A7725"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1" w:history="1">
            <w:r w:rsidR="004872D7" w:rsidRPr="00A75454">
              <w:rPr>
                <w:rStyle w:val="Hipervnculo"/>
                <w:noProof/>
              </w:rPr>
              <w:t>7.1.5.</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Aumento de costos de entrada o salida</w:t>
            </w:r>
            <w:r w:rsidR="004872D7">
              <w:rPr>
                <w:noProof/>
                <w:webHidden/>
              </w:rPr>
              <w:tab/>
            </w:r>
            <w:r w:rsidR="004872D7">
              <w:rPr>
                <w:noProof/>
                <w:webHidden/>
              </w:rPr>
              <w:fldChar w:fldCharType="begin"/>
            </w:r>
            <w:r w:rsidR="004872D7">
              <w:rPr>
                <w:noProof/>
                <w:webHidden/>
              </w:rPr>
              <w:instrText xml:space="preserve"> PAGEREF _Toc160698881 \h </w:instrText>
            </w:r>
            <w:r w:rsidR="004872D7">
              <w:rPr>
                <w:noProof/>
                <w:webHidden/>
              </w:rPr>
            </w:r>
            <w:r w:rsidR="004872D7">
              <w:rPr>
                <w:noProof/>
                <w:webHidden/>
              </w:rPr>
              <w:fldChar w:fldCharType="separate"/>
            </w:r>
            <w:r w:rsidR="004872D7">
              <w:rPr>
                <w:noProof/>
                <w:webHidden/>
              </w:rPr>
              <w:t>39</w:t>
            </w:r>
            <w:r w:rsidR="004872D7">
              <w:rPr>
                <w:noProof/>
                <w:webHidden/>
              </w:rPr>
              <w:fldChar w:fldCharType="end"/>
            </w:r>
          </w:hyperlink>
        </w:p>
        <w:p w14:paraId="1DA73707" w14:textId="5EFBD920"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2" w:history="1">
            <w:r w:rsidR="004872D7" w:rsidRPr="00A75454">
              <w:rPr>
                <w:rStyle w:val="Hipervnculo"/>
                <w:noProof/>
              </w:rPr>
              <w:t>7.1.6.</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Restricciones geográficas</w:t>
            </w:r>
            <w:r w:rsidR="004872D7">
              <w:rPr>
                <w:noProof/>
                <w:webHidden/>
              </w:rPr>
              <w:tab/>
            </w:r>
            <w:r w:rsidR="004872D7">
              <w:rPr>
                <w:noProof/>
                <w:webHidden/>
              </w:rPr>
              <w:fldChar w:fldCharType="begin"/>
            </w:r>
            <w:r w:rsidR="004872D7">
              <w:rPr>
                <w:noProof/>
                <w:webHidden/>
              </w:rPr>
              <w:instrText xml:space="preserve"> PAGEREF _Toc160698882 \h </w:instrText>
            </w:r>
            <w:r w:rsidR="004872D7">
              <w:rPr>
                <w:noProof/>
                <w:webHidden/>
              </w:rPr>
            </w:r>
            <w:r w:rsidR="004872D7">
              <w:rPr>
                <w:noProof/>
                <w:webHidden/>
              </w:rPr>
              <w:fldChar w:fldCharType="separate"/>
            </w:r>
            <w:r w:rsidR="004872D7">
              <w:rPr>
                <w:noProof/>
                <w:webHidden/>
              </w:rPr>
              <w:t>39</w:t>
            </w:r>
            <w:r w:rsidR="004872D7">
              <w:rPr>
                <w:noProof/>
                <w:webHidden/>
              </w:rPr>
              <w:fldChar w:fldCharType="end"/>
            </w:r>
          </w:hyperlink>
        </w:p>
        <w:p w14:paraId="32F6C523" w14:textId="3A4A0D17"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83" w:history="1">
            <w:r w:rsidR="004872D7" w:rsidRPr="00A75454">
              <w:rPr>
                <w:rStyle w:val="Hipervnculo"/>
                <w:noProof/>
              </w:rPr>
              <w:t>7.2.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limitan la capacidad de competir</w:t>
            </w:r>
            <w:r w:rsidR="004872D7">
              <w:rPr>
                <w:noProof/>
                <w:webHidden/>
              </w:rPr>
              <w:tab/>
            </w:r>
            <w:r w:rsidR="004872D7">
              <w:rPr>
                <w:noProof/>
                <w:webHidden/>
              </w:rPr>
              <w:fldChar w:fldCharType="begin"/>
            </w:r>
            <w:r w:rsidR="004872D7">
              <w:rPr>
                <w:noProof/>
                <w:webHidden/>
              </w:rPr>
              <w:instrText xml:space="preserve"> PAGEREF _Toc160698883 \h </w:instrText>
            </w:r>
            <w:r w:rsidR="004872D7">
              <w:rPr>
                <w:noProof/>
                <w:webHidden/>
              </w:rPr>
            </w:r>
            <w:r w:rsidR="004872D7">
              <w:rPr>
                <w:noProof/>
                <w:webHidden/>
              </w:rPr>
              <w:fldChar w:fldCharType="separate"/>
            </w:r>
            <w:r w:rsidR="004872D7">
              <w:rPr>
                <w:noProof/>
                <w:webHidden/>
              </w:rPr>
              <w:t>40</w:t>
            </w:r>
            <w:r w:rsidR="004872D7">
              <w:rPr>
                <w:noProof/>
                <w:webHidden/>
              </w:rPr>
              <w:fldChar w:fldCharType="end"/>
            </w:r>
          </w:hyperlink>
        </w:p>
        <w:p w14:paraId="3FF58F08" w14:textId="2BFAABC1"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4" w:history="1">
            <w:r w:rsidR="004872D7" w:rsidRPr="00A75454">
              <w:rPr>
                <w:rStyle w:val="Hipervnculo"/>
                <w:noProof/>
              </w:rPr>
              <w:t>7.2.1.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sobre precios</w:t>
            </w:r>
            <w:r w:rsidR="004872D7">
              <w:rPr>
                <w:noProof/>
                <w:webHidden/>
              </w:rPr>
              <w:tab/>
            </w:r>
            <w:r w:rsidR="004872D7">
              <w:rPr>
                <w:noProof/>
                <w:webHidden/>
              </w:rPr>
              <w:fldChar w:fldCharType="begin"/>
            </w:r>
            <w:r w:rsidR="004872D7">
              <w:rPr>
                <w:noProof/>
                <w:webHidden/>
              </w:rPr>
              <w:instrText xml:space="preserve"> PAGEREF _Toc160698884 \h </w:instrText>
            </w:r>
            <w:r w:rsidR="004872D7">
              <w:rPr>
                <w:noProof/>
                <w:webHidden/>
              </w:rPr>
            </w:r>
            <w:r w:rsidR="004872D7">
              <w:rPr>
                <w:noProof/>
                <w:webHidden/>
              </w:rPr>
              <w:fldChar w:fldCharType="separate"/>
            </w:r>
            <w:r w:rsidR="004872D7">
              <w:rPr>
                <w:noProof/>
                <w:webHidden/>
              </w:rPr>
              <w:t>40</w:t>
            </w:r>
            <w:r w:rsidR="004872D7">
              <w:rPr>
                <w:noProof/>
                <w:webHidden/>
              </w:rPr>
              <w:fldChar w:fldCharType="end"/>
            </w:r>
          </w:hyperlink>
        </w:p>
        <w:p w14:paraId="4A7CEC0A" w14:textId="6DBD2C67"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5" w:history="1">
            <w:r w:rsidR="004872D7" w:rsidRPr="00A75454">
              <w:rPr>
                <w:rStyle w:val="Hipervnculo"/>
                <w:noProof/>
              </w:rPr>
              <w:t>7.2.2.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de calidad</w:t>
            </w:r>
            <w:r w:rsidR="004872D7">
              <w:rPr>
                <w:noProof/>
                <w:webHidden/>
              </w:rPr>
              <w:tab/>
            </w:r>
            <w:r w:rsidR="004872D7">
              <w:rPr>
                <w:noProof/>
                <w:webHidden/>
              </w:rPr>
              <w:fldChar w:fldCharType="begin"/>
            </w:r>
            <w:r w:rsidR="004872D7">
              <w:rPr>
                <w:noProof/>
                <w:webHidden/>
              </w:rPr>
              <w:instrText xml:space="preserve"> PAGEREF _Toc160698885 \h </w:instrText>
            </w:r>
            <w:r w:rsidR="004872D7">
              <w:rPr>
                <w:noProof/>
                <w:webHidden/>
              </w:rPr>
            </w:r>
            <w:r w:rsidR="004872D7">
              <w:rPr>
                <w:noProof/>
                <w:webHidden/>
              </w:rPr>
              <w:fldChar w:fldCharType="separate"/>
            </w:r>
            <w:r w:rsidR="004872D7">
              <w:rPr>
                <w:noProof/>
                <w:webHidden/>
              </w:rPr>
              <w:t>40</w:t>
            </w:r>
            <w:r w:rsidR="004872D7">
              <w:rPr>
                <w:noProof/>
                <w:webHidden/>
              </w:rPr>
              <w:fldChar w:fldCharType="end"/>
            </w:r>
          </w:hyperlink>
        </w:p>
        <w:p w14:paraId="35781612" w14:textId="4D1ACA3F"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6" w:history="1">
            <w:r w:rsidR="004872D7" w:rsidRPr="00A75454">
              <w:rPr>
                <w:rStyle w:val="Hipervnculo"/>
                <w:noProof/>
              </w:rPr>
              <w:t>7.2.3.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Ventajas o preferencias</w:t>
            </w:r>
            <w:r w:rsidR="004872D7">
              <w:rPr>
                <w:noProof/>
                <w:webHidden/>
              </w:rPr>
              <w:tab/>
            </w:r>
            <w:r w:rsidR="004872D7">
              <w:rPr>
                <w:noProof/>
                <w:webHidden/>
              </w:rPr>
              <w:fldChar w:fldCharType="begin"/>
            </w:r>
            <w:r w:rsidR="004872D7">
              <w:rPr>
                <w:noProof/>
                <w:webHidden/>
              </w:rPr>
              <w:instrText xml:space="preserve"> PAGEREF _Toc160698886 \h </w:instrText>
            </w:r>
            <w:r w:rsidR="004872D7">
              <w:rPr>
                <w:noProof/>
                <w:webHidden/>
              </w:rPr>
            </w:r>
            <w:r w:rsidR="004872D7">
              <w:rPr>
                <w:noProof/>
                <w:webHidden/>
              </w:rPr>
              <w:fldChar w:fldCharType="separate"/>
            </w:r>
            <w:r w:rsidR="004872D7">
              <w:rPr>
                <w:noProof/>
                <w:webHidden/>
              </w:rPr>
              <w:t>40</w:t>
            </w:r>
            <w:r w:rsidR="004872D7">
              <w:rPr>
                <w:noProof/>
                <w:webHidden/>
              </w:rPr>
              <w:fldChar w:fldCharType="end"/>
            </w:r>
          </w:hyperlink>
        </w:p>
        <w:p w14:paraId="5AF39398" w14:textId="537875E3"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7" w:history="1">
            <w:r w:rsidR="004872D7" w:rsidRPr="00A75454">
              <w:rPr>
                <w:rStyle w:val="Hipervnculo"/>
                <w:noProof/>
              </w:rPr>
              <w:t>7.2.4.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Reducción de la capacidad de innovar</w:t>
            </w:r>
            <w:r w:rsidR="004872D7">
              <w:rPr>
                <w:noProof/>
                <w:webHidden/>
              </w:rPr>
              <w:tab/>
            </w:r>
            <w:r w:rsidR="004872D7">
              <w:rPr>
                <w:noProof/>
                <w:webHidden/>
              </w:rPr>
              <w:fldChar w:fldCharType="begin"/>
            </w:r>
            <w:r w:rsidR="004872D7">
              <w:rPr>
                <w:noProof/>
                <w:webHidden/>
              </w:rPr>
              <w:instrText xml:space="preserve"> PAGEREF _Toc160698887 \h </w:instrText>
            </w:r>
            <w:r w:rsidR="004872D7">
              <w:rPr>
                <w:noProof/>
                <w:webHidden/>
              </w:rPr>
            </w:r>
            <w:r w:rsidR="004872D7">
              <w:rPr>
                <w:noProof/>
                <w:webHidden/>
              </w:rPr>
              <w:fldChar w:fldCharType="separate"/>
            </w:r>
            <w:r w:rsidR="004872D7">
              <w:rPr>
                <w:noProof/>
                <w:webHidden/>
              </w:rPr>
              <w:t>41</w:t>
            </w:r>
            <w:r w:rsidR="004872D7">
              <w:rPr>
                <w:noProof/>
                <w:webHidden/>
              </w:rPr>
              <w:fldChar w:fldCharType="end"/>
            </w:r>
          </w:hyperlink>
        </w:p>
        <w:p w14:paraId="4D720D01" w14:textId="478AEEEC"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88" w:history="1">
            <w:r w:rsidR="004872D7" w:rsidRPr="00A75454">
              <w:rPr>
                <w:rStyle w:val="Hipervnculo"/>
                <w:noProof/>
              </w:rPr>
              <w:t>7.2.5.</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Limitación de libertad de promoción</w:t>
            </w:r>
            <w:r w:rsidR="004872D7">
              <w:rPr>
                <w:noProof/>
                <w:webHidden/>
              </w:rPr>
              <w:tab/>
            </w:r>
            <w:r w:rsidR="004872D7">
              <w:rPr>
                <w:noProof/>
                <w:webHidden/>
              </w:rPr>
              <w:fldChar w:fldCharType="begin"/>
            </w:r>
            <w:r w:rsidR="004872D7">
              <w:rPr>
                <w:noProof/>
                <w:webHidden/>
              </w:rPr>
              <w:instrText xml:space="preserve"> PAGEREF _Toc160698888 \h </w:instrText>
            </w:r>
            <w:r w:rsidR="004872D7">
              <w:rPr>
                <w:noProof/>
                <w:webHidden/>
              </w:rPr>
            </w:r>
            <w:r w:rsidR="004872D7">
              <w:rPr>
                <w:noProof/>
                <w:webHidden/>
              </w:rPr>
              <w:fldChar w:fldCharType="separate"/>
            </w:r>
            <w:r w:rsidR="004872D7">
              <w:rPr>
                <w:noProof/>
                <w:webHidden/>
              </w:rPr>
              <w:t>41</w:t>
            </w:r>
            <w:r w:rsidR="004872D7">
              <w:rPr>
                <w:noProof/>
                <w:webHidden/>
              </w:rPr>
              <w:fldChar w:fldCharType="end"/>
            </w:r>
          </w:hyperlink>
        </w:p>
        <w:p w14:paraId="2B69B096" w14:textId="11EF863A"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89" w:history="1">
            <w:r w:rsidR="004872D7" w:rsidRPr="00A75454">
              <w:rPr>
                <w:rStyle w:val="Hipervnculo"/>
                <w:noProof/>
              </w:rPr>
              <w:t>7.3.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reducen el incentivo para competir</w:t>
            </w:r>
            <w:r w:rsidR="004872D7">
              <w:rPr>
                <w:noProof/>
                <w:webHidden/>
              </w:rPr>
              <w:tab/>
            </w:r>
            <w:r w:rsidR="004872D7">
              <w:rPr>
                <w:noProof/>
                <w:webHidden/>
              </w:rPr>
              <w:fldChar w:fldCharType="begin"/>
            </w:r>
            <w:r w:rsidR="004872D7">
              <w:rPr>
                <w:noProof/>
                <w:webHidden/>
              </w:rPr>
              <w:instrText xml:space="preserve"> PAGEREF _Toc160698889 \h </w:instrText>
            </w:r>
            <w:r w:rsidR="004872D7">
              <w:rPr>
                <w:noProof/>
                <w:webHidden/>
              </w:rPr>
            </w:r>
            <w:r w:rsidR="004872D7">
              <w:rPr>
                <w:noProof/>
                <w:webHidden/>
              </w:rPr>
              <w:fldChar w:fldCharType="separate"/>
            </w:r>
            <w:r w:rsidR="004872D7">
              <w:rPr>
                <w:noProof/>
                <w:webHidden/>
              </w:rPr>
              <w:t>41</w:t>
            </w:r>
            <w:r w:rsidR="004872D7">
              <w:rPr>
                <w:noProof/>
                <w:webHidden/>
              </w:rPr>
              <w:fldChar w:fldCharType="end"/>
            </w:r>
          </w:hyperlink>
        </w:p>
        <w:p w14:paraId="10A84070" w14:textId="1B6E2755"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90" w:history="1">
            <w:r w:rsidR="004872D7" w:rsidRPr="00A75454">
              <w:rPr>
                <w:rStyle w:val="Hipervnculo"/>
                <w:noProof/>
              </w:rPr>
              <w:t>7.3.1.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 aplicación de la Ley de Defensa de la Competencia</w:t>
            </w:r>
            <w:r w:rsidR="004872D7">
              <w:rPr>
                <w:noProof/>
                <w:webHidden/>
              </w:rPr>
              <w:tab/>
            </w:r>
            <w:r w:rsidR="004872D7">
              <w:rPr>
                <w:noProof/>
                <w:webHidden/>
              </w:rPr>
              <w:fldChar w:fldCharType="begin"/>
            </w:r>
            <w:r w:rsidR="004872D7">
              <w:rPr>
                <w:noProof/>
                <w:webHidden/>
              </w:rPr>
              <w:instrText xml:space="preserve"> PAGEREF _Toc160698890 \h </w:instrText>
            </w:r>
            <w:r w:rsidR="004872D7">
              <w:rPr>
                <w:noProof/>
                <w:webHidden/>
              </w:rPr>
            </w:r>
            <w:r w:rsidR="004872D7">
              <w:rPr>
                <w:noProof/>
                <w:webHidden/>
              </w:rPr>
              <w:fldChar w:fldCharType="separate"/>
            </w:r>
            <w:r w:rsidR="004872D7">
              <w:rPr>
                <w:noProof/>
                <w:webHidden/>
              </w:rPr>
              <w:t>41</w:t>
            </w:r>
            <w:r w:rsidR="004872D7">
              <w:rPr>
                <w:noProof/>
                <w:webHidden/>
              </w:rPr>
              <w:fldChar w:fldCharType="end"/>
            </w:r>
          </w:hyperlink>
        </w:p>
        <w:p w14:paraId="21BCC947" w14:textId="28660203"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91" w:history="1">
            <w:r w:rsidR="004872D7" w:rsidRPr="00A75454">
              <w:rPr>
                <w:rStyle w:val="Hipervnculo"/>
                <w:noProof/>
              </w:rPr>
              <w:t>7.3.2.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Publicación de información sensible</w:t>
            </w:r>
            <w:r w:rsidR="004872D7">
              <w:rPr>
                <w:noProof/>
                <w:webHidden/>
              </w:rPr>
              <w:tab/>
            </w:r>
            <w:r w:rsidR="004872D7">
              <w:rPr>
                <w:noProof/>
                <w:webHidden/>
              </w:rPr>
              <w:fldChar w:fldCharType="begin"/>
            </w:r>
            <w:r w:rsidR="004872D7">
              <w:rPr>
                <w:noProof/>
                <w:webHidden/>
              </w:rPr>
              <w:instrText xml:space="preserve"> PAGEREF _Toc160698891 \h </w:instrText>
            </w:r>
            <w:r w:rsidR="004872D7">
              <w:rPr>
                <w:noProof/>
                <w:webHidden/>
              </w:rPr>
            </w:r>
            <w:r w:rsidR="004872D7">
              <w:rPr>
                <w:noProof/>
                <w:webHidden/>
              </w:rPr>
              <w:fldChar w:fldCharType="separate"/>
            </w:r>
            <w:r w:rsidR="004872D7">
              <w:rPr>
                <w:noProof/>
                <w:webHidden/>
              </w:rPr>
              <w:t>42</w:t>
            </w:r>
            <w:r w:rsidR="004872D7">
              <w:rPr>
                <w:noProof/>
                <w:webHidden/>
              </w:rPr>
              <w:fldChar w:fldCharType="end"/>
            </w:r>
          </w:hyperlink>
        </w:p>
        <w:p w14:paraId="6282724C" w14:textId="6CF6C0A3"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92" w:history="1">
            <w:r w:rsidR="004872D7" w:rsidRPr="00A75454">
              <w:rPr>
                <w:rStyle w:val="Hipervnculo"/>
                <w:noProof/>
              </w:rPr>
              <w:t>7.3.3.</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Fomento de contacto o comunicación entre competidores</w:t>
            </w:r>
            <w:r w:rsidR="004872D7">
              <w:rPr>
                <w:noProof/>
                <w:webHidden/>
              </w:rPr>
              <w:tab/>
            </w:r>
            <w:r w:rsidR="004872D7">
              <w:rPr>
                <w:noProof/>
                <w:webHidden/>
              </w:rPr>
              <w:fldChar w:fldCharType="begin"/>
            </w:r>
            <w:r w:rsidR="004872D7">
              <w:rPr>
                <w:noProof/>
                <w:webHidden/>
              </w:rPr>
              <w:instrText xml:space="preserve"> PAGEREF _Toc160698892 \h </w:instrText>
            </w:r>
            <w:r w:rsidR="004872D7">
              <w:rPr>
                <w:noProof/>
                <w:webHidden/>
              </w:rPr>
            </w:r>
            <w:r w:rsidR="004872D7">
              <w:rPr>
                <w:noProof/>
                <w:webHidden/>
              </w:rPr>
              <w:fldChar w:fldCharType="separate"/>
            </w:r>
            <w:r w:rsidR="004872D7">
              <w:rPr>
                <w:noProof/>
                <w:webHidden/>
              </w:rPr>
              <w:t>43</w:t>
            </w:r>
            <w:r w:rsidR="004872D7">
              <w:rPr>
                <w:noProof/>
                <w:webHidden/>
              </w:rPr>
              <w:fldChar w:fldCharType="end"/>
            </w:r>
          </w:hyperlink>
        </w:p>
        <w:p w14:paraId="4167AEB7" w14:textId="348EE191"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93" w:history="1">
            <w:r w:rsidR="004872D7" w:rsidRPr="00A75454">
              <w:rPr>
                <w:rStyle w:val="Hipervnculo"/>
                <w:noProof/>
              </w:rPr>
              <w:t>7.3.4.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Régimen de autorregulación o corregulación</w:t>
            </w:r>
            <w:r w:rsidR="004872D7">
              <w:rPr>
                <w:noProof/>
                <w:webHidden/>
              </w:rPr>
              <w:tab/>
            </w:r>
            <w:r w:rsidR="004872D7">
              <w:rPr>
                <w:noProof/>
                <w:webHidden/>
              </w:rPr>
              <w:fldChar w:fldCharType="begin"/>
            </w:r>
            <w:r w:rsidR="004872D7">
              <w:rPr>
                <w:noProof/>
                <w:webHidden/>
              </w:rPr>
              <w:instrText xml:space="preserve"> PAGEREF _Toc160698893 \h </w:instrText>
            </w:r>
            <w:r w:rsidR="004872D7">
              <w:rPr>
                <w:noProof/>
                <w:webHidden/>
              </w:rPr>
            </w:r>
            <w:r w:rsidR="004872D7">
              <w:rPr>
                <w:noProof/>
                <w:webHidden/>
              </w:rPr>
              <w:fldChar w:fldCharType="separate"/>
            </w:r>
            <w:r w:rsidR="004872D7">
              <w:rPr>
                <w:noProof/>
                <w:webHidden/>
              </w:rPr>
              <w:t>43</w:t>
            </w:r>
            <w:r w:rsidR="004872D7">
              <w:rPr>
                <w:noProof/>
                <w:webHidden/>
              </w:rPr>
              <w:fldChar w:fldCharType="end"/>
            </w:r>
          </w:hyperlink>
        </w:p>
        <w:p w14:paraId="41A68BE8" w14:textId="56C9C054" w:rsidR="004872D7" w:rsidRDefault="00000000" w:rsidP="004872D7">
          <w:pPr>
            <w:pStyle w:val="TDC2"/>
            <w:rPr>
              <w:rFonts w:asciiTheme="minorHAnsi" w:eastAsiaTheme="minorEastAsia" w:hAnsiTheme="minorHAnsi" w:cstheme="minorBidi"/>
              <w:noProof/>
              <w:kern w:val="2"/>
              <w:szCs w:val="24"/>
              <w:lang w:val="es-PY" w:eastAsia="es-PY"/>
              <w14:ligatures w14:val="standardContextual"/>
            </w:rPr>
          </w:pPr>
          <w:hyperlink w:anchor="_Toc160698894" w:history="1">
            <w:r w:rsidR="004872D7" w:rsidRPr="00A75454">
              <w:rPr>
                <w:rStyle w:val="Hipervnculo"/>
                <w:noProof/>
              </w:rPr>
              <w:t>7.4.</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Normas que limitan las alternativas e información de consumidores</w:t>
            </w:r>
            <w:r w:rsidR="004872D7">
              <w:rPr>
                <w:noProof/>
                <w:webHidden/>
              </w:rPr>
              <w:tab/>
            </w:r>
            <w:r w:rsidR="004872D7">
              <w:rPr>
                <w:noProof/>
                <w:webHidden/>
              </w:rPr>
              <w:fldChar w:fldCharType="begin"/>
            </w:r>
            <w:r w:rsidR="004872D7">
              <w:rPr>
                <w:noProof/>
                <w:webHidden/>
              </w:rPr>
              <w:instrText xml:space="preserve"> PAGEREF _Toc160698894 \h </w:instrText>
            </w:r>
            <w:r w:rsidR="004872D7">
              <w:rPr>
                <w:noProof/>
                <w:webHidden/>
              </w:rPr>
            </w:r>
            <w:r w:rsidR="004872D7">
              <w:rPr>
                <w:noProof/>
                <w:webHidden/>
              </w:rPr>
              <w:fldChar w:fldCharType="separate"/>
            </w:r>
            <w:r w:rsidR="004872D7">
              <w:rPr>
                <w:noProof/>
                <w:webHidden/>
              </w:rPr>
              <w:t>43</w:t>
            </w:r>
            <w:r w:rsidR="004872D7">
              <w:rPr>
                <w:noProof/>
                <w:webHidden/>
              </w:rPr>
              <w:fldChar w:fldCharType="end"/>
            </w:r>
          </w:hyperlink>
        </w:p>
        <w:p w14:paraId="2D520C90" w14:textId="367A505A"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95" w:history="1">
            <w:r w:rsidR="004872D7" w:rsidRPr="00A75454">
              <w:rPr>
                <w:rStyle w:val="Hipervnculo"/>
                <w:noProof/>
              </w:rPr>
              <w:t>7.4.1.</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Reducción de movilidad de clientes entre proveedores</w:t>
            </w:r>
            <w:r w:rsidR="004872D7">
              <w:rPr>
                <w:noProof/>
                <w:webHidden/>
              </w:rPr>
              <w:tab/>
            </w:r>
            <w:r w:rsidR="004872D7">
              <w:rPr>
                <w:noProof/>
                <w:webHidden/>
              </w:rPr>
              <w:fldChar w:fldCharType="begin"/>
            </w:r>
            <w:r w:rsidR="004872D7">
              <w:rPr>
                <w:noProof/>
                <w:webHidden/>
              </w:rPr>
              <w:instrText xml:space="preserve"> PAGEREF _Toc160698895 \h </w:instrText>
            </w:r>
            <w:r w:rsidR="004872D7">
              <w:rPr>
                <w:noProof/>
                <w:webHidden/>
              </w:rPr>
            </w:r>
            <w:r w:rsidR="004872D7">
              <w:rPr>
                <w:noProof/>
                <w:webHidden/>
              </w:rPr>
              <w:fldChar w:fldCharType="separate"/>
            </w:r>
            <w:r w:rsidR="004872D7">
              <w:rPr>
                <w:noProof/>
                <w:webHidden/>
              </w:rPr>
              <w:t>44</w:t>
            </w:r>
            <w:r w:rsidR="004872D7">
              <w:rPr>
                <w:noProof/>
                <w:webHidden/>
              </w:rPr>
              <w:fldChar w:fldCharType="end"/>
            </w:r>
          </w:hyperlink>
        </w:p>
        <w:p w14:paraId="3FB8BC84" w14:textId="32D4CF75" w:rsidR="004872D7" w:rsidRDefault="00000000">
          <w:pPr>
            <w:pStyle w:val="TDC3"/>
            <w:rPr>
              <w:rFonts w:asciiTheme="minorHAnsi" w:eastAsiaTheme="minorEastAsia" w:hAnsiTheme="minorHAnsi" w:cstheme="minorBidi"/>
              <w:noProof/>
              <w:kern w:val="2"/>
              <w:szCs w:val="24"/>
              <w:lang w:val="es-PY" w:eastAsia="es-PY"/>
              <w14:ligatures w14:val="standardContextual"/>
            </w:rPr>
          </w:pPr>
          <w:hyperlink w:anchor="_Toc160698896" w:history="1">
            <w:r w:rsidR="004872D7" w:rsidRPr="00A75454">
              <w:rPr>
                <w:rStyle w:val="Hipervnculo"/>
                <w:noProof/>
              </w:rPr>
              <w:t>7.4.2.</w:t>
            </w:r>
            <w:r w:rsidR="004872D7">
              <w:rPr>
                <w:rFonts w:asciiTheme="minorHAnsi" w:eastAsiaTheme="minorEastAsia" w:hAnsiTheme="minorHAnsi" w:cstheme="minorBidi"/>
                <w:noProof/>
                <w:kern w:val="2"/>
                <w:szCs w:val="24"/>
                <w:lang w:val="es-PY" w:eastAsia="es-PY"/>
                <w14:ligatures w14:val="standardContextual"/>
              </w:rPr>
              <w:tab/>
            </w:r>
            <w:r w:rsidR="004872D7" w:rsidRPr="00A75454">
              <w:rPr>
                <w:rStyle w:val="Hipervnculo"/>
                <w:noProof/>
              </w:rPr>
              <w:t>Requisitos insuficientes de información para la toma de decisiones</w:t>
            </w:r>
            <w:r w:rsidR="004872D7">
              <w:rPr>
                <w:noProof/>
                <w:webHidden/>
              </w:rPr>
              <w:tab/>
            </w:r>
            <w:r w:rsidR="004872D7">
              <w:rPr>
                <w:noProof/>
                <w:webHidden/>
              </w:rPr>
              <w:fldChar w:fldCharType="begin"/>
            </w:r>
            <w:r w:rsidR="004872D7">
              <w:rPr>
                <w:noProof/>
                <w:webHidden/>
              </w:rPr>
              <w:instrText xml:space="preserve"> PAGEREF _Toc160698896 \h </w:instrText>
            </w:r>
            <w:r w:rsidR="004872D7">
              <w:rPr>
                <w:noProof/>
                <w:webHidden/>
              </w:rPr>
            </w:r>
            <w:r w:rsidR="004872D7">
              <w:rPr>
                <w:noProof/>
                <w:webHidden/>
              </w:rPr>
              <w:fldChar w:fldCharType="separate"/>
            </w:r>
            <w:r w:rsidR="004872D7">
              <w:rPr>
                <w:noProof/>
                <w:webHidden/>
              </w:rPr>
              <w:t>44</w:t>
            </w:r>
            <w:r w:rsidR="004872D7">
              <w:rPr>
                <w:noProof/>
                <w:webHidden/>
              </w:rPr>
              <w:fldChar w:fldCharType="end"/>
            </w:r>
          </w:hyperlink>
        </w:p>
        <w:p w14:paraId="1D95786B" w14:textId="535B9A58" w:rsidR="00101B61" w:rsidRPr="001152C4" w:rsidRDefault="00101B61">
          <w:pPr>
            <w:rPr>
              <w:sz w:val="22"/>
            </w:rPr>
          </w:pPr>
          <w:r w:rsidRPr="001152C4">
            <w:rPr>
              <w:b/>
              <w:bCs/>
              <w:sz w:val="22"/>
              <w:lang w:val="es-ES"/>
            </w:rPr>
            <w:fldChar w:fldCharType="end"/>
          </w:r>
        </w:p>
      </w:sdtContent>
    </w:sdt>
    <w:p w14:paraId="0511B750" w14:textId="13B238F4" w:rsidR="00922C06" w:rsidRPr="001152C4" w:rsidRDefault="00922C06">
      <w:pPr>
        <w:widowControl/>
        <w:spacing w:before="0" w:line="259" w:lineRule="auto"/>
        <w:jc w:val="left"/>
        <w:rPr>
          <w:sz w:val="22"/>
          <w:lang w:val="es-ES_tradnl"/>
        </w:rPr>
      </w:pPr>
      <w:r w:rsidRPr="001152C4">
        <w:rPr>
          <w:sz w:val="22"/>
          <w:lang w:val="es-ES_tradnl"/>
        </w:rPr>
        <w:br w:type="page"/>
      </w:r>
    </w:p>
    <w:p w14:paraId="373FA7A8" w14:textId="77777777" w:rsidR="00922C06" w:rsidRPr="001152C4" w:rsidRDefault="00922C06" w:rsidP="00922C06">
      <w:pPr>
        <w:rPr>
          <w:sz w:val="22"/>
          <w:lang w:val="es-ES_tradnl"/>
        </w:rPr>
      </w:pPr>
    </w:p>
    <w:p w14:paraId="2BDF5A41" w14:textId="085C209C" w:rsidR="00914F7D" w:rsidRPr="001152C4" w:rsidRDefault="00914F7D" w:rsidP="006E7392">
      <w:pPr>
        <w:jc w:val="center"/>
        <w:rPr>
          <w:b/>
          <w:bCs/>
          <w:sz w:val="22"/>
          <w:u w:val="single"/>
          <w:lang w:val="es-ES_tradnl"/>
        </w:rPr>
      </w:pPr>
      <w:r w:rsidRPr="001152C4">
        <w:rPr>
          <w:b/>
          <w:bCs/>
          <w:sz w:val="22"/>
          <w:u w:val="single"/>
          <w:lang w:val="es-ES_tradnl"/>
        </w:rPr>
        <w:t xml:space="preserve">GUÍA PARA LA </w:t>
      </w:r>
      <w:r w:rsidR="00922C06" w:rsidRPr="001152C4">
        <w:rPr>
          <w:b/>
          <w:bCs/>
          <w:sz w:val="22"/>
          <w:u w:val="single"/>
          <w:lang w:val="es-ES_tradnl"/>
        </w:rPr>
        <w:t xml:space="preserve">REGULACIÓN </w:t>
      </w:r>
      <w:r w:rsidR="006350DA">
        <w:rPr>
          <w:b/>
          <w:bCs/>
          <w:sz w:val="22"/>
          <w:u w:val="single"/>
          <w:lang w:val="es-ES_tradnl"/>
        </w:rPr>
        <w:t xml:space="preserve">MUNICIPAL </w:t>
      </w:r>
      <w:r w:rsidR="00922C06" w:rsidRPr="001152C4">
        <w:rPr>
          <w:b/>
          <w:bCs/>
          <w:sz w:val="22"/>
          <w:u w:val="single"/>
          <w:lang w:val="es-ES_tradnl"/>
        </w:rPr>
        <w:t>CON CRITERIOS DE</w:t>
      </w:r>
      <w:r w:rsidR="006E7392" w:rsidRPr="001152C4">
        <w:rPr>
          <w:b/>
          <w:bCs/>
          <w:sz w:val="22"/>
          <w:u w:val="single"/>
          <w:lang w:val="es-ES_tradnl"/>
        </w:rPr>
        <w:t xml:space="preserve"> COMPETENCIA</w:t>
      </w:r>
    </w:p>
    <w:p w14:paraId="32963D51" w14:textId="0A0AE6F2" w:rsidR="00914F7D" w:rsidRPr="001152C4" w:rsidRDefault="004C2766" w:rsidP="00530113">
      <w:pPr>
        <w:pStyle w:val="Ttulo1"/>
        <w:rPr>
          <w:sz w:val="22"/>
          <w:lang w:val="es-ES_tradnl"/>
        </w:rPr>
      </w:pPr>
      <w:bookmarkStart w:id="0" w:name="_Toc116279548"/>
      <w:bookmarkStart w:id="1" w:name="_Toc160698823"/>
      <w:r w:rsidRPr="001152C4">
        <w:rPr>
          <w:sz w:val="22"/>
          <w:lang w:val="es-ES_tradnl"/>
        </w:rPr>
        <w:t>Introducción</w:t>
      </w:r>
      <w:bookmarkEnd w:id="0"/>
      <w:bookmarkEnd w:id="1"/>
    </w:p>
    <w:p w14:paraId="5415062E" w14:textId="77777777" w:rsidR="00D03E30" w:rsidRPr="001152C4" w:rsidRDefault="00D03E30" w:rsidP="00BD08A1">
      <w:pPr>
        <w:pStyle w:val="Ttulo2"/>
      </w:pPr>
      <w:bookmarkStart w:id="2" w:name="_Toc116279549"/>
      <w:bookmarkStart w:id="3" w:name="_Toc160698824"/>
      <w:r w:rsidRPr="001152C4">
        <w:t>Objetivo y alcance de esta guía</w:t>
      </w:r>
      <w:bookmarkEnd w:id="2"/>
      <w:bookmarkEnd w:id="3"/>
    </w:p>
    <w:p w14:paraId="28939CF0" w14:textId="5794F2A3" w:rsidR="006350DA" w:rsidRPr="006350DA" w:rsidRDefault="00D03E30" w:rsidP="006350DA">
      <w:pPr>
        <w:rPr>
          <w:sz w:val="22"/>
          <w:lang w:val="es-ES_tradnl"/>
        </w:rPr>
      </w:pPr>
      <w:r w:rsidRPr="001152C4">
        <w:rPr>
          <w:sz w:val="22"/>
          <w:lang w:val="es-ES_tradnl"/>
        </w:rPr>
        <w:t xml:space="preserve">Por medio de la presente Guía, la Comisión Nacional de la Competencia (CONACOM) tiene como objetivo </w:t>
      </w:r>
      <w:r w:rsidR="00922C06" w:rsidRPr="001152C4">
        <w:rPr>
          <w:sz w:val="22"/>
          <w:lang w:val="es-ES_tradnl"/>
        </w:rPr>
        <w:t xml:space="preserve">incentivar que las </w:t>
      </w:r>
      <w:r w:rsidR="006350DA">
        <w:rPr>
          <w:sz w:val="22"/>
          <w:lang w:val="es-ES_tradnl"/>
        </w:rPr>
        <w:t xml:space="preserve">municipalidades </w:t>
      </w:r>
      <w:r w:rsidR="00922C06" w:rsidRPr="001152C4">
        <w:rPr>
          <w:sz w:val="22"/>
          <w:lang w:val="es-ES_tradnl"/>
        </w:rPr>
        <w:t>realicen las tareas de regulación teniendo en cuenta criterios de competencia, b</w:t>
      </w:r>
      <w:r w:rsidRPr="001152C4">
        <w:rPr>
          <w:sz w:val="22"/>
          <w:lang w:val="es-ES_tradnl"/>
        </w:rPr>
        <w:t>rinda</w:t>
      </w:r>
      <w:r w:rsidR="00922C06" w:rsidRPr="001152C4">
        <w:rPr>
          <w:sz w:val="22"/>
          <w:lang w:val="es-ES_tradnl"/>
        </w:rPr>
        <w:t>ndo</w:t>
      </w:r>
      <w:r w:rsidRPr="001152C4">
        <w:rPr>
          <w:sz w:val="22"/>
          <w:lang w:val="es-ES_tradnl"/>
        </w:rPr>
        <w:t xml:space="preserve"> pautas y recomendaciones para </w:t>
      </w:r>
      <w:r w:rsidR="00922C06" w:rsidRPr="001152C4">
        <w:rPr>
          <w:sz w:val="22"/>
          <w:lang w:val="es-ES_tradnl"/>
        </w:rPr>
        <w:t>evitar imponer barreras regulatorias injustificadas a la competencia</w:t>
      </w:r>
      <w:r w:rsidR="006350DA">
        <w:rPr>
          <w:sz w:val="22"/>
          <w:lang w:val="es-ES_tradnl"/>
        </w:rPr>
        <w:t xml:space="preserve">. Asimismo, busca ser una fuente de consulta para que las personas afectadas y la ciudadanía en general detecten estos incumplimientos. Esta Guía es una adaptación de la </w:t>
      </w:r>
      <w:r w:rsidR="006350DA">
        <w:rPr>
          <w:i/>
          <w:iCs/>
          <w:sz w:val="22"/>
          <w:lang w:val="es-ES_tradnl"/>
        </w:rPr>
        <w:t>Guía para la regulación con criterios de competencia</w:t>
      </w:r>
      <w:r w:rsidR="006350DA">
        <w:rPr>
          <w:sz w:val="22"/>
          <w:lang w:val="es-ES_tradnl"/>
        </w:rPr>
        <w:t xml:space="preserve"> aprobada por la CONACOM en junio de 2023</w:t>
      </w:r>
      <w:r w:rsidR="006350DA">
        <w:rPr>
          <w:rStyle w:val="Refdenotaalpie"/>
          <w:sz w:val="22"/>
          <w:lang w:val="es-ES_tradnl"/>
        </w:rPr>
        <w:footnoteReference w:id="2"/>
      </w:r>
      <w:r w:rsidR="006350DA">
        <w:rPr>
          <w:sz w:val="22"/>
          <w:lang w:val="es-ES_tradnl"/>
        </w:rPr>
        <w:t xml:space="preserve">, enfocada en este caso en la labor regulatoria de las municipalidades. </w:t>
      </w:r>
    </w:p>
    <w:p w14:paraId="7578DBDE" w14:textId="75BF5459" w:rsidR="00D03E30" w:rsidRDefault="00D03E30" w:rsidP="00530113">
      <w:pPr>
        <w:rPr>
          <w:sz w:val="22"/>
          <w:lang w:val="es-ES_tradnl"/>
        </w:rPr>
      </w:pPr>
      <w:r w:rsidRPr="001152C4">
        <w:rPr>
          <w:sz w:val="22"/>
          <w:lang w:val="es-ES_tradnl"/>
        </w:rPr>
        <w:t>La presente Guía tiene carácter no vinculante y</w:t>
      </w:r>
      <w:r w:rsidR="00281508" w:rsidRPr="001152C4">
        <w:rPr>
          <w:sz w:val="22"/>
          <w:lang w:val="es-ES_tradnl"/>
        </w:rPr>
        <w:t>,</w:t>
      </w:r>
      <w:r w:rsidRPr="001152C4">
        <w:rPr>
          <w:sz w:val="22"/>
          <w:lang w:val="es-ES_tradnl"/>
        </w:rPr>
        <w:t xml:space="preserve"> por lo tanto, es </w:t>
      </w:r>
      <w:r w:rsidR="008A5918" w:rsidRPr="001152C4">
        <w:rPr>
          <w:sz w:val="22"/>
          <w:lang w:val="es-ES_tradnl"/>
        </w:rPr>
        <w:t>un documento</w:t>
      </w:r>
      <w:r w:rsidRPr="001152C4">
        <w:rPr>
          <w:sz w:val="22"/>
          <w:lang w:val="es-ES_tradnl"/>
        </w:rPr>
        <w:t xml:space="preserve"> orientativo, recogiendo un conjunto de buenas prácticas que la autoridad paraguaya de competencia considera relevantes. La CONACOM confía </w:t>
      </w:r>
      <w:r w:rsidR="00370C31" w:rsidRPr="001152C4">
        <w:rPr>
          <w:sz w:val="22"/>
          <w:lang w:val="es-ES_tradnl"/>
        </w:rPr>
        <w:t xml:space="preserve">en </w:t>
      </w:r>
      <w:r w:rsidRPr="001152C4">
        <w:rPr>
          <w:sz w:val="22"/>
          <w:lang w:val="es-ES_tradnl"/>
        </w:rPr>
        <w:t>que el lanzamiento de la presente Guía llevará a un</w:t>
      </w:r>
      <w:r w:rsidR="00922C06" w:rsidRPr="001152C4">
        <w:rPr>
          <w:sz w:val="22"/>
          <w:lang w:val="es-ES_tradnl"/>
        </w:rPr>
        <w:t>a mejora en la calidad y eficiencia en la regulación</w:t>
      </w:r>
      <w:r w:rsidR="006350DA">
        <w:rPr>
          <w:sz w:val="22"/>
          <w:lang w:val="es-ES_tradnl"/>
        </w:rPr>
        <w:t xml:space="preserve"> municipal</w:t>
      </w:r>
      <w:r w:rsidR="00922C06" w:rsidRPr="001152C4">
        <w:rPr>
          <w:sz w:val="22"/>
          <w:lang w:val="es-ES_tradnl"/>
        </w:rPr>
        <w:t xml:space="preserve">, con </w:t>
      </w:r>
      <w:r w:rsidRPr="001152C4">
        <w:rPr>
          <w:sz w:val="22"/>
          <w:lang w:val="es-ES_tradnl"/>
        </w:rPr>
        <w:t xml:space="preserve">consecuencias beneficiosas en la consolidación y maduración del crecimiento económico del país. </w:t>
      </w:r>
    </w:p>
    <w:p w14:paraId="725DDE50" w14:textId="0735DB41" w:rsidR="00F56396" w:rsidRPr="001152C4" w:rsidRDefault="00F56396" w:rsidP="00530113">
      <w:pPr>
        <w:rPr>
          <w:sz w:val="22"/>
          <w:lang w:val="es-ES_tradnl"/>
        </w:rPr>
      </w:pPr>
      <w:r w:rsidRPr="001152C4">
        <w:rPr>
          <w:sz w:val="22"/>
          <w:lang w:val="es-ES_tradnl"/>
        </w:rPr>
        <w:t xml:space="preserve">Los títulos de las distintas secciones se proveen solo para conveniencia de referencia y no deben ser tomados en cuenta para los efectos de la interpretación de las distintas secciones. </w:t>
      </w:r>
    </w:p>
    <w:p w14:paraId="20D08A05" w14:textId="207051D8" w:rsidR="00914F7D" w:rsidRPr="001152C4" w:rsidRDefault="00D03E30" w:rsidP="00BD08A1">
      <w:pPr>
        <w:pStyle w:val="Ttulo2"/>
      </w:pPr>
      <w:bookmarkStart w:id="4" w:name="_Toc116279550"/>
      <w:bookmarkStart w:id="5" w:name="_Toc160698825"/>
      <w:r w:rsidRPr="001152C4">
        <w:t>La importancia de la c</w:t>
      </w:r>
      <w:r w:rsidR="00914F7D" w:rsidRPr="001152C4">
        <w:t>ompetencia</w:t>
      </w:r>
      <w:bookmarkEnd w:id="4"/>
      <w:bookmarkEnd w:id="5"/>
    </w:p>
    <w:p w14:paraId="3DE2550C" w14:textId="6E93DD5A" w:rsidR="00717B8B" w:rsidRPr="001152C4" w:rsidRDefault="00D03E30" w:rsidP="00530113">
      <w:pPr>
        <w:rPr>
          <w:sz w:val="22"/>
          <w:lang w:val="es-ES_tradnl"/>
        </w:rPr>
      </w:pPr>
      <w:r w:rsidRPr="001152C4">
        <w:rPr>
          <w:sz w:val="22"/>
          <w:lang w:val="es-ES_tradnl"/>
        </w:rPr>
        <w:t>La existencia de una competencia efectiva es uno de los pilares fundamentales de una economía de mercado. La libre competencia genera incentivos en las empresas que pueden trasladarse al consumidor con una mejor prestación de los servicios, mejores productos, mejores precios, mayor innovación, estructuras empresariales más eficientes</w:t>
      </w:r>
      <w:r w:rsidR="00901E77" w:rsidRPr="001152C4">
        <w:rPr>
          <w:sz w:val="22"/>
          <w:lang w:val="es-ES_tradnl"/>
        </w:rPr>
        <w:t xml:space="preserve"> y una</w:t>
      </w:r>
      <w:r w:rsidRPr="001152C4">
        <w:rPr>
          <w:sz w:val="22"/>
          <w:lang w:val="es-ES_tradnl"/>
        </w:rPr>
        <w:t xml:space="preserve"> mejor asignación de recursos escasos</w:t>
      </w:r>
      <w:r w:rsidR="00CC732C">
        <w:rPr>
          <w:sz w:val="22"/>
          <w:lang w:val="es-ES_tradnl"/>
        </w:rPr>
        <w:t xml:space="preserve">. Con ello, se </w:t>
      </w:r>
      <w:r w:rsidRPr="001152C4">
        <w:rPr>
          <w:sz w:val="22"/>
          <w:lang w:val="es-ES_tradnl"/>
        </w:rPr>
        <w:t>mejora en definitiva la competitividad de la economía en su conjunto</w:t>
      </w:r>
      <w:r w:rsidR="00CC732C">
        <w:rPr>
          <w:sz w:val="22"/>
          <w:lang w:val="es-ES_tradnl"/>
        </w:rPr>
        <w:t>,</w:t>
      </w:r>
      <w:r w:rsidRPr="001152C4">
        <w:rPr>
          <w:sz w:val="22"/>
          <w:lang w:val="es-ES_tradnl"/>
        </w:rPr>
        <w:t xml:space="preserve"> ya que </w:t>
      </w:r>
      <w:r w:rsidR="00CC732C">
        <w:rPr>
          <w:sz w:val="22"/>
          <w:lang w:val="es-ES_tradnl"/>
        </w:rPr>
        <w:t xml:space="preserve">la competencia </w:t>
      </w:r>
      <w:r w:rsidR="00370C31" w:rsidRPr="001152C4">
        <w:rPr>
          <w:sz w:val="22"/>
          <w:lang w:val="es-ES_tradnl"/>
        </w:rPr>
        <w:t>re</w:t>
      </w:r>
      <w:r w:rsidRPr="001152C4">
        <w:rPr>
          <w:sz w:val="22"/>
          <w:lang w:val="es-ES_tradnl"/>
        </w:rPr>
        <w:t xml:space="preserve">presenta un estímulo clave para el crecimiento económico de un país. </w:t>
      </w:r>
      <w:r w:rsidR="00717B8B" w:rsidRPr="001152C4">
        <w:rPr>
          <w:sz w:val="22"/>
          <w:lang w:val="es-ES_tradnl"/>
        </w:rPr>
        <w:t xml:space="preserve"> </w:t>
      </w:r>
    </w:p>
    <w:p w14:paraId="2F039261" w14:textId="77777777" w:rsidR="00914F7D" w:rsidRPr="001152C4" w:rsidRDefault="00914F7D" w:rsidP="00BD08A1">
      <w:pPr>
        <w:pStyle w:val="Ttulo2"/>
      </w:pPr>
      <w:bookmarkStart w:id="6" w:name="_Toc116279551"/>
      <w:bookmarkStart w:id="7" w:name="_Toc160698826"/>
      <w:r w:rsidRPr="001152C4">
        <w:t>Protección constitucional</w:t>
      </w:r>
      <w:bookmarkEnd w:id="6"/>
      <w:bookmarkEnd w:id="7"/>
    </w:p>
    <w:p w14:paraId="28195AF4" w14:textId="1B0E4F90" w:rsidR="004E0B5D" w:rsidRPr="001152C4" w:rsidRDefault="004E0B5D" w:rsidP="00530113">
      <w:pPr>
        <w:rPr>
          <w:sz w:val="22"/>
          <w:lang w:val="es-ES_tradnl"/>
        </w:rPr>
      </w:pPr>
      <w:r w:rsidRPr="001152C4">
        <w:rPr>
          <w:sz w:val="22"/>
          <w:lang w:val="es-ES_tradnl"/>
        </w:rPr>
        <w:t xml:space="preserve">La competencia </w:t>
      </w:r>
      <w:r w:rsidR="0074443E" w:rsidRPr="001152C4">
        <w:rPr>
          <w:sz w:val="22"/>
          <w:lang w:val="es-ES_tradnl"/>
        </w:rPr>
        <w:t xml:space="preserve">está garantizada por la Constitución de la República del Paraguay en su artículo 107, que textualmente dice: </w:t>
      </w:r>
    </w:p>
    <w:p w14:paraId="2BC650CD" w14:textId="337AA1D5" w:rsidR="00281508" w:rsidRPr="000D724C" w:rsidRDefault="00281508" w:rsidP="00370C31">
      <w:pPr>
        <w:ind w:left="709"/>
        <w:rPr>
          <w:sz w:val="20"/>
          <w:szCs w:val="20"/>
          <w:lang w:val="es-ES_tradnl"/>
        </w:rPr>
      </w:pPr>
      <w:r w:rsidRPr="000D724C">
        <w:rPr>
          <w:sz w:val="20"/>
          <w:szCs w:val="20"/>
          <w:lang w:val="es-ES_tradnl"/>
        </w:rPr>
        <w:lastRenderedPageBreak/>
        <w:t>Toda persona tiene derecho a dedicarse a la actividad económica licita de su preferencia, dentro de un régimen de igualdad de oportunidades.</w:t>
      </w:r>
    </w:p>
    <w:p w14:paraId="0F0EF4F2" w14:textId="18393A89" w:rsidR="00281508" w:rsidRPr="000D724C" w:rsidRDefault="00281508" w:rsidP="00370C31">
      <w:pPr>
        <w:ind w:left="709"/>
        <w:rPr>
          <w:sz w:val="20"/>
          <w:szCs w:val="20"/>
          <w:lang w:val="es-ES_tradnl"/>
        </w:rPr>
      </w:pPr>
      <w:r w:rsidRPr="000D724C">
        <w:rPr>
          <w:sz w:val="20"/>
          <w:szCs w:val="20"/>
          <w:lang w:val="es-ES_tradnl"/>
        </w:rPr>
        <w:t xml:space="preserve">Se garantiza la competencia en el mercado. No serán permitidas la creación de monopolios y el alza o baja artificiales de precios que traben la libre concurrencia. </w:t>
      </w:r>
    </w:p>
    <w:p w14:paraId="2A877399" w14:textId="2AED6976" w:rsidR="004E0B5D" w:rsidRPr="000D724C" w:rsidRDefault="00281508" w:rsidP="00370C31">
      <w:pPr>
        <w:ind w:left="709"/>
        <w:rPr>
          <w:sz w:val="20"/>
          <w:szCs w:val="20"/>
          <w:lang w:val="es-ES_tradnl"/>
        </w:rPr>
      </w:pPr>
      <w:r w:rsidRPr="000D724C">
        <w:rPr>
          <w:sz w:val="20"/>
          <w:szCs w:val="20"/>
          <w:lang w:val="es-ES_tradnl"/>
        </w:rPr>
        <w:t xml:space="preserve">La usura y el comercio no autorizado de artículos nocivos serán sancionados por la Ley Penal. </w:t>
      </w:r>
    </w:p>
    <w:p w14:paraId="4BC113F0" w14:textId="5F400EDE" w:rsidR="00281508" w:rsidRPr="001152C4" w:rsidRDefault="005D785E" w:rsidP="00BD08A1">
      <w:pPr>
        <w:pStyle w:val="Ttulo2"/>
      </w:pPr>
      <w:bookmarkStart w:id="8" w:name="_Toc116279552"/>
      <w:bookmarkStart w:id="9" w:name="_Toc160698827"/>
      <w:r w:rsidRPr="001152C4">
        <w:t xml:space="preserve">Defensa </w:t>
      </w:r>
      <w:r w:rsidR="00F56396" w:rsidRPr="001152C4">
        <w:t>de la competencia</w:t>
      </w:r>
      <w:bookmarkEnd w:id="8"/>
      <w:bookmarkEnd w:id="9"/>
    </w:p>
    <w:p w14:paraId="6AD9BDBD" w14:textId="3CD55C0D" w:rsidR="00281508" w:rsidRPr="001152C4" w:rsidRDefault="00281508" w:rsidP="00530113">
      <w:pPr>
        <w:rPr>
          <w:sz w:val="22"/>
          <w:lang w:val="es-ES_tradnl"/>
        </w:rPr>
      </w:pPr>
      <w:r w:rsidRPr="001152C4">
        <w:rPr>
          <w:sz w:val="22"/>
          <w:lang w:val="es-ES_tradnl"/>
        </w:rPr>
        <w:t xml:space="preserve">La Ley N° 4956/2013 </w:t>
      </w:r>
      <w:r w:rsidRPr="001152C4">
        <w:rPr>
          <w:i/>
          <w:iCs/>
          <w:sz w:val="22"/>
          <w:lang w:val="es-ES_tradnl"/>
        </w:rPr>
        <w:t>Defensa de la Competencia</w:t>
      </w:r>
      <w:r w:rsidRPr="001152C4">
        <w:rPr>
          <w:sz w:val="22"/>
          <w:lang w:val="es-ES_tradnl"/>
        </w:rPr>
        <w:t xml:space="preserve"> </w:t>
      </w:r>
      <w:r w:rsidR="00445FBA" w:rsidRPr="001152C4">
        <w:rPr>
          <w:sz w:val="22"/>
          <w:lang w:val="es-ES_tradnl"/>
        </w:rPr>
        <w:t>(</w:t>
      </w:r>
      <w:r w:rsidR="00102C0C" w:rsidRPr="001152C4">
        <w:rPr>
          <w:sz w:val="22"/>
          <w:lang w:val="es-ES_tradnl"/>
        </w:rPr>
        <w:t>LDC</w:t>
      </w:r>
      <w:r w:rsidR="00445FBA" w:rsidRPr="001152C4">
        <w:rPr>
          <w:sz w:val="22"/>
          <w:lang w:val="es-ES_tradnl"/>
        </w:rPr>
        <w:t>)</w:t>
      </w:r>
      <w:r w:rsidR="00102C0C" w:rsidRPr="001152C4">
        <w:rPr>
          <w:sz w:val="22"/>
          <w:lang w:val="es-ES_tradnl"/>
        </w:rPr>
        <w:t xml:space="preserve"> </w:t>
      </w:r>
      <w:r w:rsidRPr="001152C4">
        <w:rPr>
          <w:sz w:val="22"/>
          <w:lang w:val="es-ES_tradnl"/>
        </w:rPr>
        <w:t xml:space="preserve">fue promulgada para establecer las bases </w:t>
      </w:r>
      <w:r w:rsidR="008666AA" w:rsidRPr="001152C4">
        <w:rPr>
          <w:sz w:val="22"/>
          <w:lang w:val="es-ES_tradnl"/>
        </w:rPr>
        <w:t xml:space="preserve">legales </w:t>
      </w:r>
      <w:r w:rsidRPr="001152C4">
        <w:rPr>
          <w:sz w:val="22"/>
          <w:lang w:val="es-ES_tradnl"/>
        </w:rPr>
        <w:t xml:space="preserve">de la </w:t>
      </w:r>
      <w:r w:rsidR="008666AA" w:rsidRPr="001152C4">
        <w:rPr>
          <w:sz w:val="22"/>
          <w:lang w:val="es-ES_tradnl"/>
        </w:rPr>
        <w:t xml:space="preserve">promoción y la defensa de la </w:t>
      </w:r>
      <w:r w:rsidRPr="001152C4">
        <w:rPr>
          <w:sz w:val="22"/>
          <w:lang w:val="es-ES_tradnl"/>
        </w:rPr>
        <w:t>competencia en el mercado</w:t>
      </w:r>
      <w:r w:rsidR="008666AA" w:rsidRPr="001152C4">
        <w:rPr>
          <w:sz w:val="22"/>
          <w:lang w:val="es-ES_tradnl"/>
        </w:rPr>
        <w:t xml:space="preserve">. Dicha ley fue reglamentada por el Decreto N° 1390/2014, que a su vez fue modificado por el Decreto N° 3488/2020. </w:t>
      </w:r>
    </w:p>
    <w:p w14:paraId="6F4EDBD6" w14:textId="399FAE12" w:rsidR="005D785E" w:rsidRPr="001152C4" w:rsidRDefault="005D785E" w:rsidP="00530113">
      <w:pPr>
        <w:rPr>
          <w:sz w:val="22"/>
          <w:lang w:val="es-ES_tradnl"/>
        </w:rPr>
      </w:pPr>
      <w:r w:rsidRPr="001152C4">
        <w:rPr>
          <w:sz w:val="22"/>
          <w:lang w:val="es-ES_tradnl"/>
        </w:rPr>
        <w:t>La ley establece el control de concentraciones y la prohibición de conductas anticompetitivas</w:t>
      </w:r>
      <w:r w:rsidR="00882C83">
        <w:rPr>
          <w:sz w:val="22"/>
          <w:lang w:val="es-ES_tradnl"/>
        </w:rPr>
        <w:t>, así como la promoción de la cultura de la libre competencia.</w:t>
      </w:r>
    </w:p>
    <w:p w14:paraId="68A834C8" w14:textId="3DE5C36D" w:rsidR="003F2D4C" w:rsidRPr="001152C4" w:rsidRDefault="001E3A81" w:rsidP="00530113">
      <w:pPr>
        <w:rPr>
          <w:sz w:val="22"/>
          <w:lang w:val="es-ES_tradnl"/>
        </w:rPr>
      </w:pPr>
      <w:r w:rsidRPr="001152C4">
        <w:rPr>
          <w:sz w:val="22"/>
          <w:lang w:val="es-ES_tradnl"/>
        </w:rPr>
        <w:t xml:space="preserve">La </w:t>
      </w:r>
      <w:r w:rsidRPr="001152C4">
        <w:rPr>
          <w:i/>
          <w:iCs/>
          <w:sz w:val="22"/>
          <w:lang w:val="es-ES_tradnl"/>
        </w:rPr>
        <w:t>Guía para la elaboración de programas de cumplimiento en materia de competencia</w:t>
      </w:r>
      <w:r w:rsidRPr="001152C4">
        <w:rPr>
          <w:sz w:val="22"/>
          <w:lang w:val="es-ES_tradnl"/>
        </w:rPr>
        <w:t xml:space="preserve"> de la CONACOM, aprobada en 2022</w:t>
      </w:r>
      <w:r w:rsidRPr="001152C4">
        <w:rPr>
          <w:rStyle w:val="Refdenotaalpie"/>
          <w:sz w:val="22"/>
          <w:lang w:val="es-ES_tradnl"/>
        </w:rPr>
        <w:footnoteReference w:id="3"/>
      </w:r>
      <w:r w:rsidRPr="001152C4">
        <w:rPr>
          <w:sz w:val="22"/>
          <w:lang w:val="es-ES_tradnl"/>
        </w:rPr>
        <w:t xml:space="preserve">, contiene un resumen de algunos puntos relevantes de la LDC. </w:t>
      </w:r>
      <w:r w:rsidR="00034493" w:rsidRPr="001152C4">
        <w:rPr>
          <w:sz w:val="22"/>
          <w:lang w:val="es-ES_tradnl"/>
        </w:rPr>
        <w:t>Para mayor referencia</w:t>
      </w:r>
      <w:r w:rsidRPr="001152C4">
        <w:rPr>
          <w:sz w:val="22"/>
          <w:lang w:val="es-ES_tradnl"/>
        </w:rPr>
        <w:t xml:space="preserve">, </w:t>
      </w:r>
      <w:r w:rsidR="00D96AD6">
        <w:rPr>
          <w:sz w:val="22"/>
          <w:lang w:val="es-ES_tradnl"/>
        </w:rPr>
        <w:t xml:space="preserve">puede </w:t>
      </w:r>
      <w:r w:rsidR="00A67497" w:rsidRPr="001152C4">
        <w:rPr>
          <w:sz w:val="22"/>
          <w:lang w:val="es-ES_tradnl"/>
        </w:rPr>
        <w:t>consult</w:t>
      </w:r>
      <w:r w:rsidR="00D96AD6">
        <w:rPr>
          <w:sz w:val="22"/>
          <w:lang w:val="es-ES_tradnl"/>
        </w:rPr>
        <w:t>ar</w:t>
      </w:r>
      <w:r w:rsidR="00A67497" w:rsidRPr="001152C4">
        <w:rPr>
          <w:sz w:val="22"/>
          <w:lang w:val="es-ES_tradnl"/>
        </w:rPr>
        <w:t xml:space="preserve"> la LDC</w:t>
      </w:r>
      <w:r w:rsidRPr="001152C4">
        <w:rPr>
          <w:sz w:val="22"/>
          <w:lang w:val="es-ES_tradnl"/>
        </w:rPr>
        <w:t>,</w:t>
      </w:r>
      <w:r w:rsidR="00A67497" w:rsidRPr="001152C4">
        <w:rPr>
          <w:sz w:val="22"/>
          <w:lang w:val="es-ES_tradnl"/>
        </w:rPr>
        <w:t xml:space="preserve"> sus reglamentaciones</w:t>
      </w:r>
      <w:r w:rsidRPr="001152C4">
        <w:rPr>
          <w:sz w:val="22"/>
          <w:lang w:val="es-ES_tradnl"/>
        </w:rPr>
        <w:t xml:space="preserve"> y la </w:t>
      </w:r>
      <w:r w:rsidR="00133E46" w:rsidRPr="001152C4">
        <w:rPr>
          <w:sz w:val="22"/>
          <w:lang w:val="es-ES_tradnl"/>
        </w:rPr>
        <w:t>g</w:t>
      </w:r>
      <w:r w:rsidRPr="001152C4">
        <w:rPr>
          <w:sz w:val="22"/>
          <w:lang w:val="es-ES_tradnl"/>
        </w:rPr>
        <w:t>uía</w:t>
      </w:r>
      <w:r w:rsidR="00133E46" w:rsidRPr="001152C4">
        <w:rPr>
          <w:sz w:val="22"/>
          <w:lang w:val="es-ES_tradnl"/>
        </w:rPr>
        <w:t xml:space="preserve"> mencionada</w:t>
      </w:r>
      <w:r w:rsidR="00A67497" w:rsidRPr="001152C4">
        <w:rPr>
          <w:sz w:val="22"/>
          <w:lang w:val="es-ES_tradnl"/>
        </w:rPr>
        <w:t xml:space="preserve">. </w:t>
      </w:r>
    </w:p>
    <w:p w14:paraId="1DF886D4" w14:textId="517C907C" w:rsidR="00922C06" w:rsidRPr="001152C4" w:rsidRDefault="00922C06" w:rsidP="00BD08A1">
      <w:pPr>
        <w:pStyle w:val="Ttulo2"/>
      </w:pPr>
      <w:bookmarkStart w:id="10" w:name="_Toc160698828"/>
      <w:r w:rsidRPr="001152C4">
        <w:t>Abogacía: la misión de promover la competencia</w:t>
      </w:r>
      <w:bookmarkEnd w:id="10"/>
    </w:p>
    <w:p w14:paraId="40906C7C" w14:textId="3287131A" w:rsidR="00922C06" w:rsidRPr="001152C4" w:rsidRDefault="00922C06" w:rsidP="009C3E4D">
      <w:pPr>
        <w:rPr>
          <w:sz w:val="22"/>
          <w:lang w:val="es-ES_tradnl"/>
        </w:rPr>
      </w:pPr>
      <w:r w:rsidRPr="001152C4">
        <w:rPr>
          <w:sz w:val="22"/>
          <w:lang w:val="es-ES_tradnl"/>
        </w:rPr>
        <w:t xml:space="preserve">La función de abogacía es vital para una agencia de competencia, puesto que ayuda a generar conciencia sobre la importancia de la competencia, de manera que todos los actores de la sociedad puedan comprender los beneficios que ella genera y que se forme una cultura de </w:t>
      </w:r>
      <w:r w:rsidR="00E40992" w:rsidRPr="001152C4">
        <w:rPr>
          <w:sz w:val="22"/>
          <w:lang w:val="es-ES_tradnl"/>
        </w:rPr>
        <w:t>promoción</w:t>
      </w:r>
      <w:r w:rsidR="00882C83">
        <w:rPr>
          <w:sz w:val="22"/>
          <w:lang w:val="es-ES_tradnl"/>
        </w:rPr>
        <w:t xml:space="preserve"> de la competencia.</w:t>
      </w:r>
    </w:p>
    <w:p w14:paraId="344379DC" w14:textId="7888824C" w:rsidR="00E40992" w:rsidRPr="001152C4" w:rsidRDefault="00E40992" w:rsidP="009C3E4D">
      <w:pPr>
        <w:rPr>
          <w:sz w:val="22"/>
          <w:lang w:val="es-ES_tradnl"/>
        </w:rPr>
      </w:pPr>
      <w:r w:rsidRPr="001152C4">
        <w:rPr>
          <w:sz w:val="22"/>
          <w:lang w:val="es-ES_tradnl"/>
        </w:rPr>
        <w:t xml:space="preserve">La abogacía es definida por la Red </w:t>
      </w:r>
      <w:r w:rsidR="00DB45B8" w:rsidRPr="001152C4">
        <w:rPr>
          <w:sz w:val="22"/>
          <w:lang w:val="es-ES_tradnl"/>
        </w:rPr>
        <w:t xml:space="preserve">Internacional </w:t>
      </w:r>
      <w:r w:rsidRPr="001152C4">
        <w:rPr>
          <w:sz w:val="22"/>
          <w:lang w:val="es-ES_tradnl"/>
        </w:rPr>
        <w:t xml:space="preserve">de Competencia (ICN, por sus siglas en inglés) como </w:t>
      </w:r>
      <w:r w:rsidRPr="001152C4">
        <w:rPr>
          <w:i/>
          <w:iCs/>
          <w:sz w:val="22"/>
        </w:rPr>
        <w:t>el conjunto de actividades que la autoridad de competencia lleva adelante para promover un entorno competitivo a través de la interacción con administraciones públicas, mediante la emisión de recomendaciones para las normativas y pliegos de contratación pública; y con el sector privado, mediante la emisión de guías y lineamientos, además de la sensibilización de la importancia de la libre competencia ante el público en general</w:t>
      </w:r>
      <w:r w:rsidR="00DB45B8" w:rsidRPr="001152C4">
        <w:rPr>
          <w:rStyle w:val="Refdenotaalpie"/>
          <w:i/>
          <w:iCs/>
          <w:sz w:val="22"/>
        </w:rPr>
        <w:footnoteReference w:id="4"/>
      </w:r>
      <w:r w:rsidRPr="001152C4">
        <w:rPr>
          <w:sz w:val="22"/>
        </w:rPr>
        <w:t xml:space="preserve">. </w:t>
      </w:r>
    </w:p>
    <w:p w14:paraId="1206B75C" w14:textId="419A0557" w:rsidR="00922C06" w:rsidRPr="001152C4" w:rsidRDefault="00DB45B8" w:rsidP="009C3E4D">
      <w:pPr>
        <w:rPr>
          <w:sz w:val="22"/>
          <w:lang w:val="es-ES_tradnl"/>
        </w:rPr>
      </w:pPr>
      <w:r w:rsidRPr="001152C4">
        <w:rPr>
          <w:sz w:val="22"/>
          <w:lang w:val="es-ES_tradnl"/>
        </w:rPr>
        <w:t>Las actuaciones que realiza la C</w:t>
      </w:r>
      <w:r w:rsidR="001E3A81" w:rsidRPr="001152C4">
        <w:rPr>
          <w:sz w:val="22"/>
          <w:lang w:val="es-ES_tradnl"/>
        </w:rPr>
        <w:t>ONACOM</w:t>
      </w:r>
      <w:r w:rsidRPr="001152C4">
        <w:rPr>
          <w:sz w:val="22"/>
          <w:lang w:val="es-ES_tradnl"/>
        </w:rPr>
        <w:t xml:space="preserve"> en materia de abogacía pueden clasificarse en tres categorías: </w:t>
      </w:r>
    </w:p>
    <w:p w14:paraId="01A78EB5" w14:textId="371B8769" w:rsidR="00DB45B8" w:rsidRPr="001152C4" w:rsidRDefault="00DB45B8" w:rsidP="00DB45B8">
      <w:pPr>
        <w:pStyle w:val="Prrafodelista"/>
        <w:numPr>
          <w:ilvl w:val="0"/>
          <w:numId w:val="6"/>
        </w:numPr>
        <w:rPr>
          <w:sz w:val="22"/>
          <w:lang w:val="es-ES_tradnl"/>
        </w:rPr>
      </w:pPr>
      <w:r w:rsidRPr="001152C4">
        <w:rPr>
          <w:sz w:val="22"/>
          <w:lang w:val="es-ES_tradnl"/>
        </w:rPr>
        <w:t xml:space="preserve">Análisis regulatorio: el análisis y la emisión de opiniones sobre normas vigentes y proyectos normativos que incluyen disposiciones que afectan la competencia. Cabe </w:t>
      </w:r>
      <w:r w:rsidRPr="001152C4">
        <w:rPr>
          <w:sz w:val="22"/>
          <w:lang w:val="es-ES_tradnl"/>
        </w:rPr>
        <w:lastRenderedPageBreak/>
        <w:t xml:space="preserve">destacar que las opiniones emitidas no son vinculantes, quedando a criterio del regulador la implementación de las medidas propuestas, aunque una opinión puede servir de elemento para </w:t>
      </w:r>
      <w:r w:rsidR="00541505">
        <w:rPr>
          <w:sz w:val="22"/>
          <w:lang w:val="es-ES_tradnl"/>
        </w:rPr>
        <w:t xml:space="preserve">la toma de decisiones regulatorias o para la resolución de </w:t>
      </w:r>
      <w:r w:rsidRPr="001152C4">
        <w:rPr>
          <w:sz w:val="22"/>
          <w:lang w:val="es-ES_tradnl"/>
        </w:rPr>
        <w:t xml:space="preserve">cualquier disputa regulatoria en materia de competencia, ya sea en el foro administrativo o judicial. </w:t>
      </w:r>
    </w:p>
    <w:p w14:paraId="0D85CB82" w14:textId="6C440D16" w:rsidR="00DB45B8" w:rsidRPr="001152C4" w:rsidRDefault="00DB45B8" w:rsidP="00DB45B8">
      <w:pPr>
        <w:pStyle w:val="Prrafodelista"/>
        <w:numPr>
          <w:ilvl w:val="0"/>
          <w:numId w:val="6"/>
        </w:numPr>
        <w:rPr>
          <w:sz w:val="22"/>
          <w:lang w:val="es-ES_tradnl"/>
        </w:rPr>
      </w:pPr>
      <w:r w:rsidRPr="001152C4">
        <w:rPr>
          <w:sz w:val="22"/>
          <w:lang w:val="es-ES_tradnl"/>
        </w:rPr>
        <w:t>Estudio de mercado: el proyecto de investigación realizado para obtener una comprensión profunda de cómo funcionan los sectores, mercados o las prácticas de mercado</w:t>
      </w:r>
      <w:r w:rsidRPr="001152C4">
        <w:rPr>
          <w:rStyle w:val="Refdenotaalpie"/>
          <w:sz w:val="22"/>
          <w:lang w:val="es-ES_tradnl"/>
        </w:rPr>
        <w:footnoteReference w:id="5"/>
      </w:r>
      <w:r w:rsidRPr="001152C4">
        <w:rPr>
          <w:sz w:val="22"/>
          <w:lang w:val="es-ES_tradnl"/>
        </w:rPr>
        <w:t xml:space="preserve">. </w:t>
      </w:r>
    </w:p>
    <w:p w14:paraId="736E6785" w14:textId="132170C1" w:rsidR="00DB45B8" w:rsidRDefault="00DB45B8" w:rsidP="00DB45B8">
      <w:pPr>
        <w:pStyle w:val="Prrafodelista"/>
        <w:numPr>
          <w:ilvl w:val="0"/>
          <w:numId w:val="6"/>
        </w:numPr>
        <w:rPr>
          <w:sz w:val="22"/>
          <w:lang w:val="es-ES_tradnl"/>
        </w:rPr>
      </w:pPr>
      <w:r w:rsidRPr="001152C4">
        <w:rPr>
          <w:sz w:val="22"/>
          <w:lang w:val="es-ES_tradnl"/>
        </w:rPr>
        <w:t xml:space="preserve">Promoción de la cultura de competencia: toda actividad destinada a sensibilizar a la sociedad de los beneficios de la competencia. En esta categoría se incluyen actividades de capacitación sobre temas de competencia e iniciativas como las publicaciones del Anuario Nacional de la Competencia y el concurso de ensayos Premio Nacional de Competencia. </w:t>
      </w:r>
    </w:p>
    <w:p w14:paraId="5EDDD7E9" w14:textId="25EE6DB5" w:rsidR="0090197E" w:rsidRPr="0090197E" w:rsidRDefault="0090197E" w:rsidP="0090197E">
      <w:pPr>
        <w:rPr>
          <w:sz w:val="22"/>
          <w:lang w:val="es-ES_tradnl"/>
        </w:rPr>
      </w:pPr>
      <w:r>
        <w:rPr>
          <w:sz w:val="22"/>
          <w:lang w:val="es-ES_tradnl"/>
        </w:rPr>
        <w:t>La función de análisis regulatorio se basa en el reconocimiento de que las instituciones públicas pueden limitar la competencia a través de sus actuaciones, vulnerando el derecho establecido en el artículo 107 de la Constitución previamente citado y afectando asimismo el principio general contemplado en la LDC de que [</w:t>
      </w:r>
      <w:r w:rsidRPr="0090197E">
        <w:rPr>
          <w:i/>
          <w:iCs/>
          <w:sz w:val="22"/>
          <w:lang w:val="es-ES_tradnl"/>
        </w:rPr>
        <w:t>t</w:t>
      </w:r>
      <w:r>
        <w:rPr>
          <w:sz w:val="22"/>
          <w:lang w:val="es-ES_tradnl"/>
        </w:rPr>
        <w:t>]</w:t>
      </w:r>
      <w:proofErr w:type="spellStart"/>
      <w:r w:rsidRPr="0090197E">
        <w:rPr>
          <w:i/>
          <w:iCs/>
          <w:sz w:val="22"/>
          <w:lang w:val="es-ES_tradnl"/>
        </w:rPr>
        <w:t>odos</w:t>
      </w:r>
      <w:proofErr w:type="spellEnd"/>
      <w:r w:rsidRPr="0090197E">
        <w:rPr>
          <w:i/>
          <w:iCs/>
          <w:sz w:val="22"/>
          <w:lang w:val="es-ES_tradnl"/>
        </w:rPr>
        <w:t xml:space="preserve"> los mercados estarán regidos por los principios y reglas de la libre competencia, excepto las limitaciones establecidas en la Ley por razones de interés general</w:t>
      </w:r>
      <w:r>
        <w:rPr>
          <w:rStyle w:val="Refdenotaalpie"/>
          <w:i/>
          <w:iCs/>
          <w:sz w:val="22"/>
          <w:lang w:val="es-ES_tradnl"/>
        </w:rPr>
        <w:footnoteReference w:id="6"/>
      </w:r>
      <w:r w:rsidRPr="0090197E">
        <w:rPr>
          <w:sz w:val="22"/>
          <w:lang w:val="es-ES_tradnl"/>
        </w:rPr>
        <w:t>.</w:t>
      </w:r>
      <w:r>
        <w:rPr>
          <w:sz w:val="22"/>
          <w:lang w:val="es-ES_tradnl"/>
        </w:rPr>
        <w:t xml:space="preserve"> </w:t>
      </w:r>
    </w:p>
    <w:p w14:paraId="5AFCEC08" w14:textId="6931CF87" w:rsidR="00914F7D" w:rsidRPr="001152C4" w:rsidRDefault="004228B9" w:rsidP="00BD08A1">
      <w:pPr>
        <w:pStyle w:val="Ttulo2"/>
      </w:pPr>
      <w:bookmarkStart w:id="11" w:name="_Toc160698829"/>
      <w:r w:rsidRPr="001152C4">
        <w:t>Marco institucional</w:t>
      </w:r>
      <w:bookmarkEnd w:id="11"/>
    </w:p>
    <w:p w14:paraId="56594D8A" w14:textId="67D51908" w:rsidR="001E3A81" w:rsidRPr="001152C4" w:rsidRDefault="004228B9" w:rsidP="00BD08A1">
      <w:pPr>
        <w:pStyle w:val="Ttulo3"/>
      </w:pPr>
      <w:bookmarkStart w:id="12" w:name="_Toc160698830"/>
      <w:r w:rsidRPr="001152C4">
        <w:t>La CONACOM</w:t>
      </w:r>
      <w:bookmarkEnd w:id="12"/>
    </w:p>
    <w:p w14:paraId="1020199A" w14:textId="75A6CE34" w:rsidR="0034760E" w:rsidRPr="001152C4" w:rsidRDefault="00D347F8" w:rsidP="007F558E">
      <w:pPr>
        <w:rPr>
          <w:sz w:val="22"/>
          <w:lang w:val="es-ES_tradnl"/>
        </w:rPr>
      </w:pPr>
      <w:r w:rsidRPr="001152C4">
        <w:rPr>
          <w:sz w:val="22"/>
          <w:lang w:val="es-ES_tradnl"/>
        </w:rPr>
        <w:t xml:space="preserve">La institución encargada de promover y defender la competencia en los mercados en los términos de la LDC es la </w:t>
      </w:r>
      <w:r w:rsidR="004228B9" w:rsidRPr="001152C4">
        <w:rPr>
          <w:sz w:val="22"/>
          <w:lang w:val="es-ES_tradnl"/>
        </w:rPr>
        <w:t xml:space="preserve">CONACOM. </w:t>
      </w:r>
      <w:r w:rsidR="0034760E" w:rsidRPr="001152C4">
        <w:rPr>
          <w:sz w:val="22"/>
          <w:lang w:val="es-ES_tradnl"/>
        </w:rPr>
        <w:t xml:space="preserve">Se trata de una institución autónoma y autárquica que se vincula con el Poder Ejecutivo a través del Ministerio de Industria y Comercio (MIC). </w:t>
      </w:r>
    </w:p>
    <w:p w14:paraId="270E1AFA" w14:textId="48A1E4E4" w:rsidR="007F558E" w:rsidRPr="001152C4" w:rsidRDefault="004228B9" w:rsidP="007F558E">
      <w:pPr>
        <w:rPr>
          <w:sz w:val="22"/>
          <w:lang w:val="es-ES_tradnl"/>
        </w:rPr>
      </w:pPr>
      <w:r w:rsidRPr="001152C4">
        <w:rPr>
          <w:sz w:val="22"/>
          <w:lang w:val="es-ES_tradnl"/>
        </w:rPr>
        <w:t>La i</w:t>
      </w:r>
      <w:r w:rsidR="00D347F8" w:rsidRPr="001152C4">
        <w:rPr>
          <w:sz w:val="22"/>
          <w:lang w:val="es-ES_tradnl"/>
        </w:rPr>
        <w:t>nstitución cuenta con dos unidades para el cumplimiento de su misión institucional</w:t>
      </w:r>
      <w:r w:rsidRPr="001152C4">
        <w:rPr>
          <w:sz w:val="22"/>
          <w:lang w:val="es-ES_tradnl"/>
        </w:rPr>
        <w:t xml:space="preserve"> de promover y defender la competencia</w:t>
      </w:r>
      <w:r w:rsidR="00D347F8" w:rsidRPr="001152C4">
        <w:rPr>
          <w:sz w:val="22"/>
          <w:lang w:val="es-ES_tradnl"/>
        </w:rPr>
        <w:t xml:space="preserve">: </w:t>
      </w:r>
      <w:r w:rsidR="001E3A81" w:rsidRPr="001152C4">
        <w:rPr>
          <w:sz w:val="22"/>
          <w:lang w:val="es-ES_tradnl"/>
        </w:rPr>
        <w:t xml:space="preserve">el Directorio, con tres miembros titulares, que conforman la máxima autoridad institucional; y </w:t>
      </w:r>
      <w:r w:rsidR="00D347F8" w:rsidRPr="001152C4">
        <w:rPr>
          <w:sz w:val="22"/>
          <w:lang w:val="es-ES_tradnl"/>
        </w:rPr>
        <w:t>la Dirección de Investigación</w:t>
      </w:r>
      <w:r w:rsidR="001E3A81" w:rsidRPr="001152C4">
        <w:rPr>
          <w:sz w:val="22"/>
          <w:lang w:val="es-ES_tradnl"/>
        </w:rPr>
        <w:t xml:space="preserve">. </w:t>
      </w:r>
    </w:p>
    <w:p w14:paraId="3285FEEE" w14:textId="39E312AB" w:rsidR="004228B9" w:rsidRPr="001152C4" w:rsidRDefault="004228B9" w:rsidP="007F558E">
      <w:pPr>
        <w:rPr>
          <w:sz w:val="22"/>
          <w:lang w:val="es-ES_tradnl"/>
        </w:rPr>
      </w:pPr>
      <w:r w:rsidRPr="001152C4">
        <w:rPr>
          <w:sz w:val="22"/>
          <w:lang w:val="es-ES_tradnl"/>
        </w:rPr>
        <w:t xml:space="preserve">Las funciones de abogacía están encomendadas al Directorio, que cuenta para ello con un equipo técnico de apoyo. </w:t>
      </w:r>
    </w:p>
    <w:p w14:paraId="06DB9D58" w14:textId="7AA59E6A" w:rsidR="00B731CC" w:rsidRPr="001152C4" w:rsidRDefault="00B731CC" w:rsidP="00BD08A1">
      <w:pPr>
        <w:pStyle w:val="Ttulo3"/>
      </w:pPr>
      <w:bookmarkStart w:id="13" w:name="_Toc116279568"/>
      <w:bookmarkStart w:id="14" w:name="_Toc160698831"/>
      <w:r w:rsidRPr="001152C4">
        <w:t xml:space="preserve">Deber de </w:t>
      </w:r>
      <w:r w:rsidRPr="00BD08A1">
        <w:t>colaboración</w:t>
      </w:r>
      <w:r w:rsidRPr="001152C4">
        <w:t xml:space="preserve"> con la CONACOM</w:t>
      </w:r>
      <w:bookmarkEnd w:id="13"/>
      <w:bookmarkEnd w:id="14"/>
    </w:p>
    <w:p w14:paraId="74654920" w14:textId="3D1569C9" w:rsidR="004E0F78" w:rsidRPr="001152C4" w:rsidRDefault="004E0F78" w:rsidP="006B2556">
      <w:pPr>
        <w:rPr>
          <w:sz w:val="22"/>
          <w:lang w:val="es-ES_tradnl"/>
        </w:rPr>
      </w:pPr>
      <w:r w:rsidRPr="001152C4">
        <w:rPr>
          <w:sz w:val="22"/>
          <w:lang w:val="es-ES_tradnl"/>
        </w:rPr>
        <w:t xml:space="preserve">Como bien lo establece la LDC, toda persona física o jurídica, pública o privada, está sujeta al deber de colaboración con la CONACOM, y obligada a proporcionar a la Institución toda clase </w:t>
      </w:r>
      <w:r w:rsidRPr="001152C4">
        <w:rPr>
          <w:sz w:val="22"/>
          <w:lang w:val="es-ES_tradnl"/>
        </w:rPr>
        <w:lastRenderedPageBreak/>
        <w:t>de datos e informaciones necesarias para la aplicación de la Ley</w:t>
      </w:r>
      <w:r w:rsidRPr="001152C4">
        <w:rPr>
          <w:rStyle w:val="Refdenotaalpie"/>
          <w:sz w:val="22"/>
          <w:lang w:val="es-ES_tradnl"/>
        </w:rPr>
        <w:footnoteReference w:id="7"/>
      </w:r>
      <w:r w:rsidR="002F158E" w:rsidRPr="001152C4">
        <w:rPr>
          <w:sz w:val="22"/>
          <w:lang w:val="es-ES_tradnl"/>
        </w:rPr>
        <w:t xml:space="preserve">. </w:t>
      </w:r>
      <w:r w:rsidRPr="001152C4">
        <w:rPr>
          <w:sz w:val="22"/>
          <w:lang w:val="es-ES_tradnl"/>
        </w:rPr>
        <w:t xml:space="preserve"> </w:t>
      </w:r>
    </w:p>
    <w:p w14:paraId="322FDE0F" w14:textId="11F47068" w:rsidR="00B731CC" w:rsidRPr="001152C4" w:rsidRDefault="004E0F78" w:rsidP="002F158E">
      <w:pPr>
        <w:rPr>
          <w:sz w:val="22"/>
          <w:lang w:val="es-ES_tradnl"/>
        </w:rPr>
      </w:pPr>
      <w:r w:rsidRPr="001152C4">
        <w:rPr>
          <w:sz w:val="22"/>
          <w:lang w:val="es-ES_tradnl"/>
        </w:rPr>
        <w:t>En ese sentido, e</w:t>
      </w:r>
      <w:r w:rsidR="00B731CC" w:rsidRPr="001152C4">
        <w:rPr>
          <w:sz w:val="22"/>
          <w:lang w:val="es-ES_tradnl"/>
        </w:rPr>
        <w:t xml:space="preserve">n el marco de sus actuaciones, la CONACOM puede realizar requerimientos de información y datos a </w:t>
      </w:r>
      <w:r w:rsidR="0006696C" w:rsidRPr="001152C4">
        <w:rPr>
          <w:sz w:val="22"/>
          <w:lang w:val="es-ES_tradnl"/>
        </w:rPr>
        <w:t xml:space="preserve">instituciones públicas y a </w:t>
      </w:r>
      <w:r w:rsidR="00B731CC" w:rsidRPr="001152C4">
        <w:rPr>
          <w:sz w:val="22"/>
          <w:lang w:val="es-ES_tradnl"/>
        </w:rPr>
        <w:t xml:space="preserve">personas físicas o jurídicas, que deben responderlas en un plazo de diez días hábiles, que pueden ser prorrogados por </w:t>
      </w:r>
      <w:r w:rsidR="00931CD5" w:rsidRPr="001152C4">
        <w:rPr>
          <w:sz w:val="22"/>
          <w:lang w:val="es-ES_tradnl"/>
        </w:rPr>
        <w:t xml:space="preserve">hasta diez días </w:t>
      </w:r>
      <w:r w:rsidR="00B731CC" w:rsidRPr="001152C4">
        <w:rPr>
          <w:sz w:val="22"/>
          <w:lang w:val="es-ES_tradnl"/>
        </w:rPr>
        <w:t>en caso de una solicitud de la parte requerida</w:t>
      </w:r>
      <w:r w:rsidR="00B731CC" w:rsidRPr="001152C4">
        <w:rPr>
          <w:rStyle w:val="Refdenotaalpie"/>
          <w:sz w:val="22"/>
          <w:lang w:val="es-ES_tradnl"/>
        </w:rPr>
        <w:footnoteReference w:id="8"/>
      </w:r>
      <w:r w:rsidR="00B731CC" w:rsidRPr="001152C4">
        <w:rPr>
          <w:sz w:val="22"/>
          <w:lang w:val="es-ES_tradnl"/>
        </w:rPr>
        <w:t xml:space="preserve">. </w:t>
      </w:r>
    </w:p>
    <w:p w14:paraId="7166BBEA" w14:textId="547567D3" w:rsidR="00B731CC" w:rsidRPr="001152C4" w:rsidRDefault="00B731CC" w:rsidP="00B731CC">
      <w:pPr>
        <w:rPr>
          <w:sz w:val="22"/>
          <w:lang w:val="es-ES_tradnl"/>
        </w:rPr>
      </w:pPr>
      <w:r w:rsidRPr="001152C4">
        <w:rPr>
          <w:sz w:val="22"/>
          <w:lang w:val="es-ES_tradnl"/>
        </w:rPr>
        <w:t>El incumplimiento de esta obligación conlleva una multa de entre diez y trescientos jornales mínimos diarios. La multa puede extenderse además a los directores, administradores y otras personas que participan en la gestión de una empresa infractora que intervinieron en el incumplimiento del deber de colaboración</w:t>
      </w:r>
      <w:r w:rsidRPr="001152C4">
        <w:rPr>
          <w:rStyle w:val="Refdenotaalpie"/>
          <w:sz w:val="22"/>
          <w:lang w:val="es-ES_tradnl"/>
        </w:rPr>
        <w:footnoteReference w:id="9"/>
      </w:r>
      <w:r w:rsidRPr="001152C4">
        <w:rPr>
          <w:sz w:val="22"/>
          <w:lang w:val="es-ES_tradnl"/>
        </w:rPr>
        <w:t xml:space="preserve">. </w:t>
      </w:r>
    </w:p>
    <w:p w14:paraId="371CE07F" w14:textId="51F16A58" w:rsidR="00452C6C" w:rsidRPr="001152C4" w:rsidRDefault="00452C6C" w:rsidP="00B731CC">
      <w:pPr>
        <w:rPr>
          <w:sz w:val="22"/>
          <w:lang w:val="es-ES_tradnl"/>
        </w:rPr>
      </w:pPr>
      <w:r w:rsidRPr="001152C4">
        <w:rPr>
          <w:sz w:val="22"/>
          <w:lang w:val="es-ES_tradnl"/>
        </w:rPr>
        <w:t>Asimismo, la norma establece que, de persistir el incumplimiento, la CONACOM puede imponer una nueva multa duplicando sucesiva e ilimitadamente el monto de la última impuesta, hasta que se cumpla con el requerimiento recibido</w:t>
      </w:r>
      <w:r w:rsidRPr="001152C4">
        <w:rPr>
          <w:rStyle w:val="Refdenotaalpie"/>
          <w:sz w:val="22"/>
          <w:lang w:val="es-ES_tradnl"/>
        </w:rPr>
        <w:footnoteReference w:id="10"/>
      </w:r>
      <w:r w:rsidRPr="001152C4">
        <w:rPr>
          <w:sz w:val="22"/>
          <w:lang w:val="es-ES_tradnl"/>
        </w:rPr>
        <w:t>.</w:t>
      </w:r>
    </w:p>
    <w:p w14:paraId="1898D732" w14:textId="7DABC7EC" w:rsidR="006B2556" w:rsidRDefault="00B731CC" w:rsidP="00B731CC">
      <w:pPr>
        <w:rPr>
          <w:sz w:val="22"/>
          <w:lang w:val="es-ES_tradnl"/>
        </w:rPr>
      </w:pPr>
      <w:r w:rsidRPr="001152C4">
        <w:rPr>
          <w:sz w:val="22"/>
          <w:lang w:val="es-ES_tradnl"/>
        </w:rPr>
        <w:t xml:space="preserve">Cabe destacar que la infracción del deber de colaboración con la CONACOM es sancionada a través de un procedimiento </w:t>
      </w:r>
      <w:r w:rsidR="00931CD5" w:rsidRPr="001152C4">
        <w:rPr>
          <w:sz w:val="22"/>
          <w:lang w:val="es-ES_tradnl"/>
        </w:rPr>
        <w:t xml:space="preserve">establecido </w:t>
      </w:r>
      <w:r w:rsidR="00DB5947" w:rsidRPr="001152C4">
        <w:rPr>
          <w:sz w:val="22"/>
          <w:lang w:val="es-ES_tradnl"/>
        </w:rPr>
        <w:t xml:space="preserve">por una resolución administrativa, que </w:t>
      </w:r>
      <w:r w:rsidR="00931CD5" w:rsidRPr="001152C4">
        <w:rPr>
          <w:sz w:val="22"/>
          <w:lang w:val="es-ES_tradnl"/>
        </w:rPr>
        <w:t xml:space="preserve">a la fecha de la </w:t>
      </w:r>
      <w:r w:rsidR="003F5127">
        <w:rPr>
          <w:sz w:val="22"/>
          <w:lang w:val="es-ES_tradnl"/>
        </w:rPr>
        <w:t xml:space="preserve">publicación de esta </w:t>
      </w:r>
      <w:r w:rsidR="00931CD5" w:rsidRPr="001152C4">
        <w:rPr>
          <w:sz w:val="22"/>
          <w:lang w:val="es-ES_tradnl"/>
        </w:rPr>
        <w:t xml:space="preserve">guía </w:t>
      </w:r>
      <w:r w:rsidR="00DB5947" w:rsidRPr="001152C4">
        <w:rPr>
          <w:sz w:val="22"/>
          <w:lang w:val="es-ES_tradnl"/>
        </w:rPr>
        <w:t xml:space="preserve">se encuentra </w:t>
      </w:r>
      <w:r w:rsidR="00931CD5" w:rsidRPr="001152C4">
        <w:rPr>
          <w:sz w:val="22"/>
          <w:lang w:val="es-ES_tradnl"/>
        </w:rPr>
        <w:t xml:space="preserve">en la Resolución D/AD N° </w:t>
      </w:r>
      <w:r w:rsidR="00E959C4" w:rsidRPr="001152C4">
        <w:rPr>
          <w:sz w:val="22"/>
          <w:lang w:val="es-ES_tradnl"/>
        </w:rPr>
        <w:t>103</w:t>
      </w:r>
      <w:r w:rsidR="00931CD5" w:rsidRPr="001152C4">
        <w:rPr>
          <w:sz w:val="22"/>
          <w:lang w:val="es-ES_tradnl"/>
        </w:rPr>
        <w:t>/2022</w:t>
      </w:r>
      <w:r w:rsidRPr="001152C4">
        <w:rPr>
          <w:sz w:val="22"/>
          <w:lang w:val="es-ES_tradnl"/>
        </w:rPr>
        <w:t xml:space="preserve">. </w:t>
      </w:r>
    </w:p>
    <w:p w14:paraId="692FD7C4" w14:textId="4B00DA15" w:rsidR="004872D7" w:rsidRPr="004872D7" w:rsidRDefault="004872D7" w:rsidP="004872D7">
      <w:pPr>
        <w:pStyle w:val="Ttulo3"/>
      </w:pPr>
      <w:bookmarkStart w:id="15" w:name="_Toc160698832"/>
      <w:r>
        <w:t>Deber de secreto</w:t>
      </w:r>
      <w:bookmarkEnd w:id="15"/>
    </w:p>
    <w:p w14:paraId="2E231DD5" w14:textId="6FAB4527" w:rsidR="00B731CC" w:rsidRPr="001152C4" w:rsidRDefault="006B2556" w:rsidP="00B731CC">
      <w:pPr>
        <w:rPr>
          <w:sz w:val="22"/>
          <w:lang w:val="es-ES_tradnl"/>
        </w:rPr>
      </w:pPr>
      <w:r w:rsidRPr="001152C4">
        <w:rPr>
          <w:sz w:val="22"/>
          <w:lang w:val="es-ES_tradnl"/>
        </w:rPr>
        <w:t>Igualmente, cabe resaltar, por un lado, que todos los funcionarios de la Institución que tomen parte en la tramitación de los expedientes están obligados a guardar secreto sobre los hechos que hayan tenido conocimiento a través de ellos, quedando sujetos a responsabilidades administrativas, civiles y penales</w:t>
      </w:r>
      <w:r w:rsidRPr="001152C4">
        <w:rPr>
          <w:rStyle w:val="Refdenotaalpie"/>
          <w:sz w:val="22"/>
          <w:lang w:val="es-ES_tradnl"/>
        </w:rPr>
        <w:footnoteReference w:id="11"/>
      </w:r>
      <w:r w:rsidRPr="001152C4">
        <w:rPr>
          <w:sz w:val="22"/>
          <w:lang w:val="es-ES_tradnl"/>
        </w:rPr>
        <w:t xml:space="preserve">. Por otro lado, </w:t>
      </w:r>
      <w:r w:rsidR="0006696C" w:rsidRPr="001152C4">
        <w:rPr>
          <w:sz w:val="22"/>
          <w:lang w:val="es-ES_tradnl"/>
        </w:rPr>
        <w:t xml:space="preserve">se señala </w:t>
      </w:r>
      <w:r w:rsidRPr="001152C4">
        <w:rPr>
          <w:sz w:val="22"/>
          <w:lang w:val="es-ES_tradnl"/>
        </w:rPr>
        <w:t xml:space="preserve">que la CONACOM podrá ordenar que se mantengan </w:t>
      </w:r>
      <w:r w:rsidR="001C0BE9" w:rsidRPr="001152C4">
        <w:rPr>
          <w:sz w:val="22"/>
          <w:lang w:val="es-ES_tradnl"/>
        </w:rPr>
        <w:t xml:space="preserve">secretos </w:t>
      </w:r>
      <w:r w:rsidRPr="001152C4">
        <w:rPr>
          <w:sz w:val="22"/>
          <w:lang w:val="es-ES_tradnl"/>
        </w:rPr>
        <w:t xml:space="preserve">los documentos e informaciones </w:t>
      </w:r>
      <w:r w:rsidR="001C0BE9" w:rsidRPr="001152C4">
        <w:rPr>
          <w:sz w:val="22"/>
          <w:lang w:val="es-ES_tradnl"/>
        </w:rPr>
        <w:t xml:space="preserve">que le fueran </w:t>
      </w:r>
      <w:r w:rsidRPr="001152C4">
        <w:rPr>
          <w:sz w:val="22"/>
          <w:lang w:val="es-ES_tradnl"/>
        </w:rPr>
        <w:t>proporcionad</w:t>
      </w:r>
      <w:r w:rsidR="001C0BE9" w:rsidRPr="001152C4">
        <w:rPr>
          <w:sz w:val="22"/>
          <w:lang w:val="es-ES_tradnl"/>
        </w:rPr>
        <w:t>os, siempre que ellos se consideren confidenciales, por razones de protección de secretos comerciales, o cualquier otro elemento cuya revelación pueda afectar significativamente el desenvolvimiento competitivo de su titular</w:t>
      </w:r>
      <w:r w:rsidR="001C0BE9" w:rsidRPr="001152C4">
        <w:rPr>
          <w:rStyle w:val="Refdenotaalpie"/>
          <w:sz w:val="22"/>
          <w:lang w:val="es-ES_tradnl"/>
        </w:rPr>
        <w:footnoteReference w:id="12"/>
      </w:r>
      <w:r w:rsidR="001C0BE9" w:rsidRPr="001152C4">
        <w:rPr>
          <w:sz w:val="22"/>
          <w:lang w:val="es-ES_tradnl"/>
        </w:rPr>
        <w:t>, pudiendo acceder a los mismos únicamente sus titulares y sus representantes, los miembros del directorio de la CONACOM y los funcionarios de la Institución que fueran debidamente autorizados al efecto.</w:t>
      </w:r>
    </w:p>
    <w:p w14:paraId="0059B2FB" w14:textId="22268C76" w:rsidR="00CC32A5" w:rsidRPr="001152C4" w:rsidRDefault="00CC32A5" w:rsidP="000F6432">
      <w:pPr>
        <w:widowControl/>
        <w:spacing w:before="0" w:line="259" w:lineRule="auto"/>
        <w:jc w:val="left"/>
        <w:rPr>
          <w:sz w:val="22"/>
          <w:lang w:val="es-ES_tradnl"/>
        </w:rPr>
      </w:pPr>
      <w:r w:rsidRPr="001152C4">
        <w:rPr>
          <w:sz w:val="22"/>
          <w:lang w:val="es-ES_tradnl"/>
        </w:rPr>
        <w:br w:type="page"/>
      </w:r>
    </w:p>
    <w:p w14:paraId="28789C85" w14:textId="11DF59B7" w:rsidR="00033694" w:rsidRPr="001152C4" w:rsidRDefault="00033694" w:rsidP="000D7F80">
      <w:pPr>
        <w:rPr>
          <w:sz w:val="22"/>
          <w:lang w:val="es-ES_tradnl"/>
        </w:rPr>
      </w:pPr>
    </w:p>
    <w:p w14:paraId="09068B6F" w14:textId="6B4127AC" w:rsidR="00914F7D" w:rsidRPr="001152C4" w:rsidRDefault="00DB45B8" w:rsidP="00530113">
      <w:pPr>
        <w:pStyle w:val="Ttulo1"/>
        <w:rPr>
          <w:sz w:val="22"/>
          <w:lang w:val="es-ES_tradnl"/>
        </w:rPr>
      </w:pPr>
      <w:bookmarkStart w:id="16" w:name="_Toc160698833"/>
      <w:r w:rsidRPr="001152C4">
        <w:rPr>
          <w:sz w:val="22"/>
          <w:lang w:val="es-ES_tradnl"/>
        </w:rPr>
        <w:t>La regulación</w:t>
      </w:r>
      <w:r w:rsidR="00F8695C">
        <w:rPr>
          <w:sz w:val="22"/>
          <w:lang w:val="es-ES_tradnl"/>
        </w:rPr>
        <w:t xml:space="preserve"> municipal</w:t>
      </w:r>
      <w:bookmarkEnd w:id="16"/>
    </w:p>
    <w:p w14:paraId="5B1FCFEE" w14:textId="5255C102" w:rsidR="00914F7D" w:rsidRPr="001152C4" w:rsidRDefault="00F8695C" w:rsidP="00BD08A1">
      <w:pPr>
        <w:pStyle w:val="Ttulo2"/>
      </w:pPr>
      <w:bookmarkStart w:id="17" w:name="_Toc160698834"/>
      <w:r>
        <w:t>Regulación</w:t>
      </w:r>
      <w:bookmarkEnd w:id="17"/>
    </w:p>
    <w:p w14:paraId="21739910" w14:textId="711CB3AA" w:rsidR="002B4322" w:rsidRPr="001152C4" w:rsidRDefault="00EC73C7" w:rsidP="002B4322">
      <w:pPr>
        <w:rPr>
          <w:sz w:val="22"/>
          <w:lang w:val="es-ES_tradnl"/>
        </w:rPr>
      </w:pPr>
      <w:r w:rsidRPr="001152C4">
        <w:rPr>
          <w:sz w:val="22"/>
          <w:lang w:val="es-ES_tradnl"/>
        </w:rPr>
        <w:t xml:space="preserve">Existen diversas definiciones de lo que consiste la regulación. </w:t>
      </w:r>
      <w:r w:rsidR="003C5488" w:rsidRPr="001152C4">
        <w:rPr>
          <w:sz w:val="22"/>
          <w:lang w:val="es-ES_tradnl"/>
        </w:rPr>
        <w:t xml:space="preserve">La </w:t>
      </w:r>
      <w:r w:rsidR="00C604BA" w:rsidRPr="001152C4">
        <w:rPr>
          <w:sz w:val="22"/>
          <w:lang w:val="es-ES_tradnl"/>
        </w:rPr>
        <w:t>Comisión Nacional de l</w:t>
      </w:r>
      <w:r w:rsidRPr="001152C4">
        <w:rPr>
          <w:sz w:val="22"/>
          <w:lang w:val="es-ES_tradnl"/>
        </w:rPr>
        <w:t>os Mercados y la</w:t>
      </w:r>
      <w:r w:rsidR="00C604BA" w:rsidRPr="001152C4">
        <w:rPr>
          <w:sz w:val="22"/>
          <w:lang w:val="es-ES_tradnl"/>
        </w:rPr>
        <w:t xml:space="preserve"> Competencia </w:t>
      </w:r>
      <w:r w:rsidRPr="001152C4">
        <w:rPr>
          <w:sz w:val="22"/>
          <w:lang w:val="es-ES_tradnl"/>
        </w:rPr>
        <w:t xml:space="preserve">de España (CNMC) </w:t>
      </w:r>
      <w:r w:rsidR="00C604BA" w:rsidRPr="001152C4">
        <w:rPr>
          <w:sz w:val="22"/>
          <w:lang w:val="es-ES_tradnl"/>
        </w:rPr>
        <w:t xml:space="preserve">define a la </w:t>
      </w:r>
      <w:r w:rsidR="003C5488" w:rsidRPr="001152C4">
        <w:rPr>
          <w:sz w:val="22"/>
          <w:lang w:val="es-ES_tradnl"/>
        </w:rPr>
        <w:t xml:space="preserve">regulación </w:t>
      </w:r>
      <w:r w:rsidR="00C604BA" w:rsidRPr="001152C4">
        <w:rPr>
          <w:sz w:val="22"/>
          <w:lang w:val="es-ES_tradnl"/>
        </w:rPr>
        <w:t xml:space="preserve">como </w:t>
      </w:r>
      <w:r w:rsidR="003C5488" w:rsidRPr="001152C4">
        <w:rPr>
          <w:i/>
          <w:iCs/>
          <w:sz w:val="22"/>
          <w:lang w:val="es-ES_tradnl"/>
        </w:rPr>
        <w:t>cualquier medida legislativa o normativa aprobada por el gobierno que, a partir de sus poderes coactivos, busca influenciar la conducta individual o colectiva</w:t>
      </w:r>
      <w:r w:rsidR="003C5488" w:rsidRPr="001152C4">
        <w:rPr>
          <w:rStyle w:val="Refdenotaalpie"/>
          <w:i/>
          <w:iCs/>
          <w:sz w:val="22"/>
          <w:lang w:val="es-ES_tradnl"/>
        </w:rPr>
        <w:footnoteReference w:id="13"/>
      </w:r>
      <w:r w:rsidR="003C5488" w:rsidRPr="001152C4">
        <w:rPr>
          <w:sz w:val="22"/>
          <w:lang w:val="es-ES_tradnl"/>
        </w:rPr>
        <w:t xml:space="preserve">. </w:t>
      </w:r>
      <w:r w:rsidR="002B4322" w:rsidRPr="001152C4">
        <w:rPr>
          <w:sz w:val="22"/>
          <w:lang w:val="es-ES_tradnl"/>
        </w:rPr>
        <w:t>Laguna de Paz, por su parte, reconoce la amplitud del concepto al señalar que [</w:t>
      </w:r>
      <w:r w:rsidR="002B4322" w:rsidRPr="001152C4">
        <w:rPr>
          <w:i/>
          <w:iCs/>
          <w:sz w:val="22"/>
          <w:lang w:val="es-ES_tradnl"/>
        </w:rPr>
        <w:t>s</w:t>
      </w:r>
      <w:r w:rsidR="002B4322" w:rsidRPr="001152C4">
        <w:rPr>
          <w:sz w:val="22"/>
          <w:lang w:val="es-ES_tradnl"/>
        </w:rPr>
        <w:t>]</w:t>
      </w:r>
      <w:proofErr w:type="spellStart"/>
      <w:r w:rsidR="002B4322" w:rsidRPr="001152C4">
        <w:rPr>
          <w:i/>
          <w:iCs/>
          <w:sz w:val="22"/>
          <w:lang w:val="es-ES_tradnl"/>
        </w:rPr>
        <w:t>iempre</w:t>
      </w:r>
      <w:proofErr w:type="spellEnd"/>
      <w:r w:rsidR="002B4322" w:rsidRPr="001152C4">
        <w:rPr>
          <w:i/>
          <w:iCs/>
          <w:sz w:val="22"/>
          <w:lang w:val="es-ES_tradnl"/>
        </w:rPr>
        <w:t xml:space="preserve"> se ha entendido por regulación el establecimiento de normas generales que disciplinan la conducta de los sujetos, públicos y privados</w:t>
      </w:r>
      <w:r w:rsidR="002B4322" w:rsidRPr="001152C4">
        <w:rPr>
          <w:rStyle w:val="Refdenotaalpie"/>
          <w:i/>
          <w:iCs/>
          <w:sz w:val="22"/>
          <w:lang w:val="es-ES_tradnl"/>
        </w:rPr>
        <w:footnoteReference w:id="14"/>
      </w:r>
      <w:r w:rsidR="002B4322" w:rsidRPr="001152C4">
        <w:rPr>
          <w:sz w:val="22"/>
          <w:lang w:val="es-ES_tradnl"/>
        </w:rPr>
        <w:t xml:space="preserve">. Al referirse a la regulación económica, Montero Pascual, por su parte, señala que es </w:t>
      </w:r>
      <w:r w:rsidR="002B4322" w:rsidRPr="001152C4">
        <w:rPr>
          <w:i/>
          <w:iCs/>
          <w:sz w:val="22"/>
          <w:lang w:val="es-ES_tradnl"/>
        </w:rPr>
        <w:t xml:space="preserve">el control continuo y concertado que realizan las </w:t>
      </w:r>
      <w:proofErr w:type="gramStart"/>
      <w:r w:rsidR="002B4322" w:rsidRPr="001152C4">
        <w:rPr>
          <w:i/>
          <w:iCs/>
          <w:sz w:val="22"/>
          <w:lang w:val="es-ES_tradnl"/>
        </w:rPr>
        <w:t>autoridades públicas</w:t>
      </w:r>
      <w:proofErr w:type="gramEnd"/>
      <w:r w:rsidR="002B4322" w:rsidRPr="001152C4">
        <w:rPr>
          <w:i/>
          <w:iCs/>
          <w:sz w:val="22"/>
          <w:lang w:val="es-ES_tradnl"/>
        </w:rPr>
        <w:t xml:space="preserve"> en el mercado, mediante la imposición de obligaciones jurídicas a los privados con la finalidad de garantizar la adecuación del funcionamiento del mercado a los objetivos de interés general</w:t>
      </w:r>
      <w:r w:rsidR="002B4322" w:rsidRPr="001152C4">
        <w:rPr>
          <w:rStyle w:val="Refdenotaalpie"/>
          <w:i/>
          <w:iCs/>
          <w:sz w:val="22"/>
          <w:lang w:val="es-ES_tradnl"/>
        </w:rPr>
        <w:footnoteReference w:id="15"/>
      </w:r>
      <w:r w:rsidR="002B4322" w:rsidRPr="001152C4">
        <w:rPr>
          <w:sz w:val="22"/>
          <w:lang w:val="es-ES_tradnl"/>
        </w:rPr>
        <w:t xml:space="preserve">. </w:t>
      </w:r>
    </w:p>
    <w:p w14:paraId="75256BFA" w14:textId="7F3F831D" w:rsidR="00187832" w:rsidRPr="001152C4" w:rsidRDefault="00187832" w:rsidP="002B4322">
      <w:pPr>
        <w:rPr>
          <w:sz w:val="22"/>
          <w:lang w:val="es-ES_tradnl"/>
        </w:rPr>
      </w:pPr>
      <w:r w:rsidRPr="001152C4">
        <w:rPr>
          <w:sz w:val="22"/>
          <w:lang w:val="es-ES_tradnl"/>
        </w:rPr>
        <w:t>De estas definiciones pueden extraerse factores comunes sobre lo que implica la tarea regulatoria. Se trata de una actuación de instituciones públicas</w:t>
      </w:r>
      <w:r w:rsidR="007311C7" w:rsidRPr="001152C4">
        <w:rPr>
          <w:sz w:val="22"/>
          <w:lang w:val="es-ES_tradnl"/>
        </w:rPr>
        <w:t xml:space="preserve"> de </w:t>
      </w:r>
      <w:r w:rsidRPr="001152C4">
        <w:rPr>
          <w:sz w:val="22"/>
          <w:lang w:val="es-ES_tradnl"/>
        </w:rPr>
        <w:t>cumplimiento obligatorio para los sujetos a los que está dirigida, para lo cual puede haber un mecanismo que controle, sancione y/o prevea la rectificación de la conducta en caso de incumplimiento, con la fuerza coercitiva del Estado</w:t>
      </w:r>
      <w:r w:rsidRPr="001152C4">
        <w:rPr>
          <w:rStyle w:val="Refdenotaalpie"/>
          <w:sz w:val="22"/>
          <w:lang w:val="es-ES_tradnl"/>
        </w:rPr>
        <w:footnoteReference w:id="16"/>
      </w:r>
      <w:r w:rsidRPr="001152C4">
        <w:rPr>
          <w:sz w:val="22"/>
          <w:lang w:val="es-ES_tradnl"/>
        </w:rPr>
        <w:t xml:space="preserve">. </w:t>
      </w:r>
    </w:p>
    <w:p w14:paraId="67461CD4" w14:textId="77777777" w:rsidR="00264535" w:rsidRPr="001152C4" w:rsidRDefault="007311C7" w:rsidP="007311C7">
      <w:pPr>
        <w:rPr>
          <w:sz w:val="22"/>
          <w:lang w:val="es-ES_tradnl"/>
        </w:rPr>
      </w:pPr>
      <w:r w:rsidRPr="001152C4">
        <w:rPr>
          <w:sz w:val="22"/>
          <w:lang w:val="es-ES_tradnl"/>
        </w:rPr>
        <w:t xml:space="preserve">La </w:t>
      </w:r>
      <w:r w:rsidRPr="001152C4">
        <w:rPr>
          <w:i/>
          <w:iCs/>
          <w:sz w:val="22"/>
          <w:lang w:val="es-ES_tradnl"/>
        </w:rPr>
        <w:t>regulación</w:t>
      </w:r>
      <w:r w:rsidRPr="001152C4">
        <w:rPr>
          <w:sz w:val="22"/>
          <w:lang w:val="es-ES_tradnl"/>
        </w:rPr>
        <w:t xml:space="preserve"> es una de las formas en las que el Estado actúa y se encuentra en oposición directa a las tareas de </w:t>
      </w:r>
      <w:r w:rsidRPr="001152C4">
        <w:rPr>
          <w:i/>
          <w:iCs/>
          <w:sz w:val="22"/>
          <w:lang w:val="es-ES_tradnl"/>
        </w:rPr>
        <w:t>ejecución</w:t>
      </w:r>
      <w:r w:rsidRPr="001152C4">
        <w:rPr>
          <w:sz w:val="22"/>
          <w:lang w:val="es-ES_tradnl"/>
        </w:rPr>
        <w:t xml:space="preserve">, por las cuales el Estado implementa medidas acordes a las funciones y atribuciones contenidas en las normas. </w:t>
      </w:r>
    </w:p>
    <w:p w14:paraId="5363E618" w14:textId="2CDF11DB" w:rsidR="00187832" w:rsidRDefault="007311C7" w:rsidP="007311C7">
      <w:pPr>
        <w:rPr>
          <w:sz w:val="22"/>
          <w:lang w:val="es-ES_tradnl"/>
        </w:rPr>
      </w:pPr>
      <w:r w:rsidRPr="001152C4">
        <w:rPr>
          <w:sz w:val="22"/>
          <w:lang w:val="es-ES_tradnl"/>
        </w:rPr>
        <w:t xml:space="preserve">A modo de ejemplo, cuando hablamos de las actuaciones de la CONACOM, puede observarse que las reglas de procedimiento y las normas de fondo contenidas en la Ley, los decretos de reglamentación y las resoluciones administrativas obligatorias son </w:t>
      </w:r>
      <w:r w:rsidRPr="001152C4">
        <w:rPr>
          <w:i/>
          <w:iCs/>
          <w:sz w:val="22"/>
          <w:lang w:val="es-ES_tradnl"/>
        </w:rPr>
        <w:t>regulaciones</w:t>
      </w:r>
      <w:r w:rsidRPr="001152C4">
        <w:rPr>
          <w:sz w:val="22"/>
          <w:lang w:val="es-ES_tradnl"/>
        </w:rPr>
        <w:t xml:space="preserve">; mientras que las investigaciones y los análisis jurídicos y económicos de casos de prácticas anticompetitivas, de concentraciones o del impacto de normativas son actividades de </w:t>
      </w:r>
      <w:r w:rsidRPr="001152C4">
        <w:rPr>
          <w:i/>
          <w:iCs/>
          <w:sz w:val="22"/>
          <w:lang w:val="es-ES_tradnl"/>
        </w:rPr>
        <w:t>ejecución</w:t>
      </w:r>
      <w:r w:rsidRPr="001152C4">
        <w:rPr>
          <w:sz w:val="22"/>
          <w:lang w:val="es-ES_tradnl"/>
        </w:rPr>
        <w:t xml:space="preserve"> de las normas. </w:t>
      </w:r>
    </w:p>
    <w:p w14:paraId="3334E926" w14:textId="77777777" w:rsidR="00E568D5" w:rsidRPr="001152C4" w:rsidRDefault="00E568D5" w:rsidP="00E568D5">
      <w:pPr>
        <w:pStyle w:val="Ttulo2"/>
      </w:pPr>
      <w:bookmarkStart w:id="18" w:name="_Toc160698835"/>
      <w:r w:rsidRPr="001152C4">
        <w:t xml:space="preserve">Efectos de la </w:t>
      </w:r>
      <w:r w:rsidRPr="00BD08A1">
        <w:t>regulación</w:t>
      </w:r>
      <w:r w:rsidRPr="001152C4">
        <w:t xml:space="preserve"> en la competencia</w:t>
      </w:r>
      <w:bookmarkEnd w:id="18"/>
    </w:p>
    <w:p w14:paraId="0FE11FF0" w14:textId="77777777" w:rsidR="00E568D5" w:rsidRPr="001152C4" w:rsidRDefault="00E568D5" w:rsidP="00E568D5">
      <w:pPr>
        <w:rPr>
          <w:sz w:val="22"/>
          <w:lang w:val="es-ES_tradnl"/>
        </w:rPr>
      </w:pPr>
      <w:r w:rsidRPr="001152C4">
        <w:rPr>
          <w:sz w:val="22"/>
          <w:lang w:val="es-ES_tradnl"/>
        </w:rPr>
        <w:t xml:space="preserve">La regulación es una de las formas en que </w:t>
      </w:r>
      <w:r>
        <w:rPr>
          <w:sz w:val="22"/>
          <w:lang w:val="es-ES_tradnl"/>
        </w:rPr>
        <w:t xml:space="preserve">las instituciones públicas </w:t>
      </w:r>
      <w:r w:rsidRPr="001152C4">
        <w:rPr>
          <w:sz w:val="22"/>
          <w:lang w:val="es-ES_tradnl"/>
        </w:rPr>
        <w:t>puede</w:t>
      </w:r>
      <w:r>
        <w:rPr>
          <w:sz w:val="22"/>
          <w:lang w:val="es-ES_tradnl"/>
        </w:rPr>
        <w:t>n</w:t>
      </w:r>
      <w:r w:rsidRPr="001152C4">
        <w:rPr>
          <w:sz w:val="22"/>
          <w:lang w:val="es-ES_tradnl"/>
        </w:rPr>
        <w:t xml:space="preserve"> intervenir en la economía. </w:t>
      </w:r>
      <w:r>
        <w:rPr>
          <w:sz w:val="22"/>
          <w:lang w:val="es-ES_tradnl"/>
        </w:rPr>
        <w:t xml:space="preserve">La regulación suele nacer como consecuencia de mercados imperfectos donde es </w:t>
      </w:r>
      <w:r>
        <w:rPr>
          <w:sz w:val="22"/>
          <w:lang w:val="es-ES_tradnl"/>
        </w:rPr>
        <w:lastRenderedPageBreak/>
        <w:t>difícil encontrar un equilibrio social sin que el Estado intervenga en definir sus normas de funcionamiento. En algunos mercados, inclusive, puede ser necesario generar competencia a través de la regulación, como en el caso de los monopolios naturales, cuando podría darse de forma limitada para el acceso al mercado mediante un permiso o concesión. En general, sin embargo, l</w:t>
      </w:r>
      <w:r w:rsidRPr="001152C4">
        <w:rPr>
          <w:sz w:val="22"/>
          <w:lang w:val="es-ES_tradnl"/>
        </w:rPr>
        <w:t xml:space="preserve">as normas que sean adoptadas deciden la forma de operación de los mercados y el alcance de la libertad de concurrencia. </w:t>
      </w:r>
    </w:p>
    <w:p w14:paraId="4A92F874" w14:textId="77777777" w:rsidR="00E568D5" w:rsidRPr="001152C4" w:rsidRDefault="00E568D5" w:rsidP="00E568D5">
      <w:pPr>
        <w:rPr>
          <w:sz w:val="22"/>
          <w:lang w:val="es-ES_tradnl"/>
        </w:rPr>
      </w:pPr>
      <w:r w:rsidRPr="001152C4">
        <w:rPr>
          <w:sz w:val="22"/>
          <w:lang w:val="es-ES_tradnl"/>
        </w:rPr>
        <w:t xml:space="preserve">Las normas pueden tener un efecto positivo o negativo en la competencia, por lo cual es necesario definir qué criterios pueden ayudar a determinar este impacto. La mera existencia de una norma que en principio limite la competencia no implica necesariamente que ese impacto global sea negativo: la misma puede estar justificada y compensar sus efectos de otra forma. Por ejemplo, en un análisis superficial, una norma que establezca la obligación de que los costos de portabilidad de usuarios de telefonía móvil sean asumidos por los proveedores podría limitar la capacidad de competir de los mismos. Sin embargo, dicha normativa podría justificarse y terminar generando un impacto positivo en la competencia al reducir los costos de cambio de proveedor para el consumidor. </w:t>
      </w:r>
    </w:p>
    <w:p w14:paraId="035251D0" w14:textId="77777777" w:rsidR="00E568D5" w:rsidRDefault="00E568D5" w:rsidP="00E568D5">
      <w:pPr>
        <w:rPr>
          <w:sz w:val="22"/>
          <w:lang w:val="es-ES_tradnl"/>
        </w:rPr>
      </w:pPr>
      <w:r w:rsidRPr="001152C4">
        <w:rPr>
          <w:sz w:val="22"/>
          <w:lang w:val="es-ES_tradnl"/>
        </w:rPr>
        <w:t xml:space="preserve">La CONACOM realiza el análisis de normativas existentes y proyectos normativos en dos pasos: el primero consiste en la identificación de barreras regulatorias a la competencia. En caso de encontrarse alguna barrera, la misma es estudiada </w:t>
      </w:r>
      <w:r>
        <w:rPr>
          <w:sz w:val="22"/>
          <w:lang w:val="es-ES_tradnl"/>
        </w:rPr>
        <w:t xml:space="preserve">con </w:t>
      </w:r>
      <w:r w:rsidRPr="001152C4">
        <w:rPr>
          <w:sz w:val="22"/>
          <w:lang w:val="es-ES_tradnl"/>
        </w:rPr>
        <w:t xml:space="preserve">base </w:t>
      </w:r>
      <w:r>
        <w:rPr>
          <w:sz w:val="22"/>
          <w:lang w:val="es-ES_tradnl"/>
        </w:rPr>
        <w:t xml:space="preserve">en </w:t>
      </w:r>
      <w:r w:rsidRPr="001152C4">
        <w:rPr>
          <w:sz w:val="22"/>
          <w:lang w:val="es-ES_tradnl"/>
        </w:rPr>
        <w:t xml:space="preserve">un conjunto de principios que permiten apreciar si la barrera está debidamente justificada. La justificación puede devenir por su impacto global en la competencia, por la necesidad de corrección de fallos de mercado o por la prevalencia de otros factores que se consideran de interés general. </w:t>
      </w:r>
    </w:p>
    <w:p w14:paraId="04BCD6C1" w14:textId="5AEDFEED" w:rsidR="00133E46" w:rsidRPr="001152C4" w:rsidRDefault="00F8695C" w:rsidP="00BD08A1">
      <w:pPr>
        <w:pStyle w:val="Ttulo2"/>
      </w:pPr>
      <w:bookmarkStart w:id="19" w:name="_Toc160698836"/>
      <w:r>
        <w:t>Regulación municipal</w:t>
      </w:r>
      <w:bookmarkEnd w:id="19"/>
    </w:p>
    <w:p w14:paraId="48E11298" w14:textId="2231CC18" w:rsidR="00F8695C" w:rsidRDefault="00F8695C" w:rsidP="00133E46">
      <w:pPr>
        <w:rPr>
          <w:sz w:val="22"/>
          <w:lang w:val="es-ES_tradnl"/>
        </w:rPr>
      </w:pPr>
      <w:r>
        <w:rPr>
          <w:sz w:val="22"/>
          <w:lang w:val="es-ES_tradnl"/>
        </w:rPr>
        <w:t xml:space="preserve">Las municipalidades son los órganos de gobierno local y tienen funciones regulatorias que emanan de la Constitución y de leyes, en especial, de la Ley Orgánica Municipal. </w:t>
      </w:r>
    </w:p>
    <w:p w14:paraId="69B6D7F7" w14:textId="6403FA78" w:rsidR="0090197E" w:rsidRDefault="00F8695C" w:rsidP="00133E46">
      <w:pPr>
        <w:rPr>
          <w:sz w:val="22"/>
          <w:lang w:val="es-ES_tradnl"/>
        </w:rPr>
      </w:pPr>
      <w:r>
        <w:rPr>
          <w:sz w:val="22"/>
          <w:lang w:val="es-ES_tradnl"/>
        </w:rPr>
        <w:t>La carta magna establece en su artículo 168 las atribuciones de las municipalidades</w:t>
      </w:r>
      <w:r w:rsidR="0090197E">
        <w:rPr>
          <w:sz w:val="22"/>
          <w:lang w:val="es-ES_tradnl"/>
        </w:rPr>
        <w:t xml:space="preserve">, entre las que se incluyen </w:t>
      </w:r>
      <w:r w:rsidR="0090197E">
        <w:rPr>
          <w:i/>
          <w:iCs/>
          <w:sz w:val="22"/>
          <w:lang w:val="es-ES_tradnl"/>
        </w:rPr>
        <w:t xml:space="preserve">la libre </w:t>
      </w:r>
      <w:r w:rsidR="0090197E" w:rsidRPr="0090197E">
        <w:rPr>
          <w:i/>
          <w:iCs/>
          <w:sz w:val="22"/>
          <w:lang w:val="es-ES_tradnl"/>
        </w:rPr>
        <w:t>gestión en materias de su competencia</w:t>
      </w:r>
      <w:r w:rsidR="0090197E" w:rsidRPr="0090197E">
        <w:rPr>
          <w:sz w:val="22"/>
          <w:lang w:val="es-ES_tradnl"/>
        </w:rPr>
        <w:t xml:space="preserve">, </w:t>
      </w:r>
      <w:r w:rsidR="0090197E">
        <w:rPr>
          <w:sz w:val="22"/>
          <w:lang w:val="es-ES_tradnl"/>
        </w:rPr>
        <w:t xml:space="preserve">mencionando algunas como el </w:t>
      </w:r>
      <w:r w:rsidR="0090197E" w:rsidRPr="0090197E">
        <w:rPr>
          <w:sz w:val="22"/>
          <w:lang w:val="es-ES_tradnl"/>
        </w:rPr>
        <w:t>urbanismo, ambiente, abasto, educación, cultura, deporte, turismo, asistencia sanitaria y social, instituciones de crédito</w:t>
      </w:r>
      <w:r w:rsidR="0090197E">
        <w:rPr>
          <w:sz w:val="22"/>
          <w:lang w:val="es-ES_tradnl"/>
        </w:rPr>
        <w:t xml:space="preserve">; </w:t>
      </w:r>
      <w:r w:rsidR="0090197E" w:rsidRPr="0090197E">
        <w:rPr>
          <w:sz w:val="22"/>
          <w:lang w:val="es-ES_tradnl"/>
        </w:rPr>
        <w:t xml:space="preserve">la </w:t>
      </w:r>
      <w:r w:rsidR="0090197E">
        <w:rPr>
          <w:sz w:val="22"/>
          <w:lang w:val="es-ES_tradnl"/>
        </w:rPr>
        <w:t>regulación del monto de tasas retributivas de servicios efectivamente prestados; la emisión de ordenanzas, reglamentos y resoluciones; la reglamentación del tránsito y transporte público, entre otras</w:t>
      </w:r>
      <w:r w:rsidR="0090197E" w:rsidRPr="0090197E">
        <w:rPr>
          <w:rStyle w:val="Refdenotaalpie"/>
          <w:sz w:val="22"/>
          <w:lang w:val="es-ES_tradnl"/>
        </w:rPr>
        <w:footnoteReference w:id="17"/>
      </w:r>
      <w:r w:rsidR="0090197E">
        <w:rPr>
          <w:sz w:val="22"/>
          <w:lang w:val="es-ES_tradnl"/>
        </w:rPr>
        <w:t xml:space="preserve">. </w:t>
      </w:r>
    </w:p>
    <w:p w14:paraId="53727F2C" w14:textId="615CEE33" w:rsidR="00F8695C" w:rsidRDefault="0090197E" w:rsidP="00133E46">
      <w:pPr>
        <w:rPr>
          <w:sz w:val="22"/>
          <w:lang w:val="es-ES_tradnl"/>
        </w:rPr>
      </w:pPr>
      <w:r>
        <w:rPr>
          <w:sz w:val="22"/>
          <w:lang w:val="es-ES_tradnl"/>
        </w:rPr>
        <w:t xml:space="preserve">Es importante destacar, sin embargo, que estas atribuciones deben ejercerse, en principio por la misma expresión del artículo 168, </w:t>
      </w:r>
      <w:r>
        <w:rPr>
          <w:i/>
          <w:iCs/>
          <w:sz w:val="22"/>
          <w:lang w:val="es-ES_tradnl"/>
        </w:rPr>
        <w:t>con arreglo a la ley</w:t>
      </w:r>
      <w:r w:rsidRPr="0090197E">
        <w:rPr>
          <w:rStyle w:val="Refdenotaalpie"/>
          <w:sz w:val="22"/>
          <w:lang w:val="es-ES_tradnl"/>
        </w:rPr>
        <w:footnoteReference w:id="18"/>
      </w:r>
      <w:r>
        <w:rPr>
          <w:sz w:val="22"/>
          <w:lang w:val="es-ES_tradnl"/>
        </w:rPr>
        <w:t xml:space="preserve">, por lo que la autonomía municipal en los temas delegados debe ajustarse a las disposiciones emanadas del Congreso Nacional. </w:t>
      </w:r>
    </w:p>
    <w:p w14:paraId="5D08B6E1" w14:textId="77777777" w:rsidR="00785840" w:rsidRDefault="00785840" w:rsidP="00785840">
      <w:pPr>
        <w:rPr>
          <w:sz w:val="22"/>
          <w:lang w:val="es-ES_tradnl"/>
        </w:rPr>
      </w:pPr>
      <w:r>
        <w:rPr>
          <w:sz w:val="22"/>
          <w:lang w:val="es-ES_tradnl"/>
        </w:rPr>
        <w:t xml:space="preserve">Asimismo, el ejercicio de estas atribuciones debe acatar lo dispuesto en el artículo 107 transcripto previamente en esta Guía, referente al derecho constitucional a la competencia. </w:t>
      </w:r>
    </w:p>
    <w:p w14:paraId="15E048D8" w14:textId="492BE338" w:rsidR="00FE7D7D" w:rsidRDefault="00FE7D7D" w:rsidP="00133E46">
      <w:pPr>
        <w:rPr>
          <w:sz w:val="22"/>
          <w:lang w:val="es-ES_tradnl"/>
        </w:rPr>
      </w:pPr>
      <w:r>
        <w:rPr>
          <w:sz w:val="22"/>
          <w:lang w:val="es-ES_tradnl"/>
        </w:rPr>
        <w:lastRenderedPageBreak/>
        <w:t xml:space="preserve">La Ley Orgánica Municipal, actualmente en los términos de la Ley N° </w:t>
      </w:r>
      <w:r w:rsidR="000E704A">
        <w:rPr>
          <w:sz w:val="22"/>
          <w:lang w:val="es-ES_tradnl"/>
        </w:rPr>
        <w:t>3966/2010</w:t>
      </w:r>
      <w:r>
        <w:rPr>
          <w:sz w:val="22"/>
          <w:lang w:val="es-ES_tradnl"/>
        </w:rPr>
        <w:t xml:space="preserve">, prosigue </w:t>
      </w:r>
      <w:r w:rsidR="00F5107B">
        <w:rPr>
          <w:sz w:val="22"/>
          <w:lang w:val="es-ES_tradnl"/>
        </w:rPr>
        <w:t>exponiendo</w:t>
      </w:r>
      <w:r>
        <w:rPr>
          <w:sz w:val="22"/>
          <w:lang w:val="es-ES_tradnl"/>
        </w:rPr>
        <w:t xml:space="preserve"> los preceptos relativos a las funciones </w:t>
      </w:r>
      <w:r w:rsidR="00785840">
        <w:rPr>
          <w:sz w:val="22"/>
          <w:lang w:val="es-ES_tradnl"/>
        </w:rPr>
        <w:t xml:space="preserve">municipales, </w:t>
      </w:r>
      <w:r w:rsidR="00F5107B">
        <w:rPr>
          <w:sz w:val="22"/>
          <w:lang w:val="es-ES_tradnl"/>
        </w:rPr>
        <w:t>clasificándolas</w:t>
      </w:r>
      <w:r w:rsidR="00785840">
        <w:rPr>
          <w:sz w:val="22"/>
          <w:lang w:val="es-ES_tradnl"/>
        </w:rPr>
        <w:t xml:space="preserve"> en base a sectores de actuación</w:t>
      </w:r>
      <w:r w:rsidR="00BD08A1">
        <w:rPr>
          <w:sz w:val="22"/>
          <w:lang w:val="es-ES_tradnl"/>
        </w:rPr>
        <w:t xml:space="preserve">. Procederemos a hacer una enumeración de algunas de las funciones regulatorias más relevantes que contiene la Ley N° </w:t>
      </w:r>
      <w:r w:rsidR="000E704A">
        <w:rPr>
          <w:sz w:val="22"/>
          <w:lang w:val="es-ES_tradnl"/>
        </w:rPr>
        <w:t>3966/2010</w:t>
      </w:r>
      <w:r w:rsidR="00F5107B">
        <w:rPr>
          <w:sz w:val="22"/>
          <w:lang w:val="es-ES_tradnl"/>
        </w:rPr>
        <w:t xml:space="preserve">: </w:t>
      </w:r>
    </w:p>
    <w:p w14:paraId="67E23C4A" w14:textId="1F0CE00A" w:rsidR="00785840" w:rsidRDefault="00BD08A1" w:rsidP="00BD08A1">
      <w:pPr>
        <w:pStyle w:val="Prrafodelista"/>
        <w:numPr>
          <w:ilvl w:val="0"/>
          <w:numId w:val="15"/>
        </w:numPr>
        <w:rPr>
          <w:sz w:val="22"/>
          <w:lang w:val="es-ES_tradnl"/>
        </w:rPr>
      </w:pPr>
      <w:r>
        <w:rPr>
          <w:b/>
          <w:bCs/>
          <w:sz w:val="22"/>
          <w:lang w:val="es-ES_tradnl"/>
        </w:rPr>
        <w:t>En materia de planificación, urbanismo y ordenamiento territorial</w:t>
      </w:r>
      <w:r>
        <w:rPr>
          <w:sz w:val="22"/>
          <w:lang w:val="es-ES_tradnl"/>
        </w:rPr>
        <w:t xml:space="preserve">: </w:t>
      </w:r>
      <w:r w:rsidR="00785840">
        <w:rPr>
          <w:sz w:val="22"/>
          <w:lang w:val="es-ES_tradnl"/>
        </w:rPr>
        <w:t>la planificación del municipio a través del Plan de Desarrollo Sustentable del Municipio y del Plan de Ordenamiento Urbano y Territorial y la delimitación de áreas urbanas y rurales; la definición del régimen de uso, ocupación del suelo, loteamiento inmobiliario, construcciones públicas y privadas, instalación de publicidad en la vía pública o perceptible desde la vía pública, entre otras</w:t>
      </w:r>
      <w:r w:rsidR="00785840">
        <w:rPr>
          <w:rStyle w:val="Refdenotaalpie"/>
          <w:sz w:val="22"/>
          <w:lang w:val="es-ES_tradnl"/>
        </w:rPr>
        <w:footnoteReference w:id="19"/>
      </w:r>
      <w:r w:rsidR="00785840">
        <w:rPr>
          <w:sz w:val="22"/>
          <w:lang w:val="es-ES_tradnl"/>
        </w:rPr>
        <w:t xml:space="preserve">. </w:t>
      </w:r>
    </w:p>
    <w:p w14:paraId="3E6D21D5" w14:textId="4D3EAE73" w:rsidR="00785840" w:rsidRDefault="00BD08A1" w:rsidP="00BD08A1">
      <w:pPr>
        <w:pStyle w:val="Prrafodelista"/>
        <w:numPr>
          <w:ilvl w:val="0"/>
          <w:numId w:val="15"/>
        </w:numPr>
        <w:rPr>
          <w:sz w:val="22"/>
          <w:lang w:val="es-ES_tradnl"/>
        </w:rPr>
      </w:pPr>
      <w:r w:rsidRPr="00BD08A1">
        <w:rPr>
          <w:b/>
          <w:bCs/>
          <w:sz w:val="22"/>
          <w:lang w:val="es-ES_tradnl"/>
        </w:rPr>
        <w:t>En materia de infraestructura pública y servicios</w:t>
      </w:r>
      <w:r>
        <w:rPr>
          <w:sz w:val="22"/>
          <w:lang w:val="es-ES_tradnl"/>
        </w:rPr>
        <w:t xml:space="preserve">: </w:t>
      </w:r>
      <w:r w:rsidR="00785840" w:rsidRPr="00BD08A1">
        <w:rPr>
          <w:sz w:val="22"/>
          <w:lang w:val="es-ES_tradnl"/>
        </w:rPr>
        <w:t xml:space="preserve">la </w:t>
      </w:r>
      <w:r w:rsidRPr="00BD08A1">
        <w:rPr>
          <w:sz w:val="22"/>
          <w:lang w:val="es-ES_tradnl"/>
        </w:rPr>
        <w:t>regulación de servicios de aseo, recolección, disposición y tratamiento de residuos del municipio, la regulación de servicios funerarios y de cementerios y la regulación de centros de abasto, mercados, mataderos y ferias municipales, entre otras</w:t>
      </w:r>
      <w:r>
        <w:rPr>
          <w:rStyle w:val="Refdenotaalpie"/>
          <w:sz w:val="22"/>
          <w:lang w:val="es-ES_tradnl"/>
        </w:rPr>
        <w:footnoteReference w:id="20"/>
      </w:r>
      <w:r w:rsidRPr="00BD08A1">
        <w:rPr>
          <w:sz w:val="22"/>
          <w:lang w:val="es-ES_tradnl"/>
        </w:rPr>
        <w:t xml:space="preserve">. </w:t>
      </w:r>
    </w:p>
    <w:p w14:paraId="601D0CDC" w14:textId="01DE6E6B" w:rsidR="00BD08A1" w:rsidRDefault="00BD08A1" w:rsidP="00BD08A1">
      <w:pPr>
        <w:pStyle w:val="Prrafodelista"/>
        <w:numPr>
          <w:ilvl w:val="0"/>
          <w:numId w:val="15"/>
        </w:numPr>
        <w:rPr>
          <w:sz w:val="22"/>
          <w:lang w:val="es-ES_tradnl"/>
        </w:rPr>
      </w:pPr>
      <w:r>
        <w:rPr>
          <w:b/>
          <w:bCs/>
          <w:sz w:val="22"/>
          <w:lang w:val="es-ES_tradnl"/>
        </w:rPr>
        <w:t>En materia de transporte público y tránsito</w:t>
      </w:r>
      <w:r w:rsidRPr="00BD08A1">
        <w:rPr>
          <w:sz w:val="22"/>
          <w:lang w:val="es-ES_tradnl"/>
        </w:rPr>
        <w:t>:</w:t>
      </w:r>
      <w:r>
        <w:rPr>
          <w:sz w:val="22"/>
          <w:lang w:val="es-ES_tradnl"/>
        </w:rPr>
        <w:t xml:space="preserve"> la regulación del servicio de transporte público de pasajeros y de cargas, la regulación del tránsito y la regulación del estado de los vehículos, entre otras</w:t>
      </w:r>
      <w:r>
        <w:rPr>
          <w:rStyle w:val="Refdenotaalpie"/>
          <w:sz w:val="22"/>
          <w:lang w:val="es-ES_tradnl"/>
        </w:rPr>
        <w:footnoteReference w:id="21"/>
      </w:r>
      <w:r>
        <w:rPr>
          <w:sz w:val="22"/>
          <w:lang w:val="es-ES_tradnl"/>
        </w:rPr>
        <w:t xml:space="preserve">. </w:t>
      </w:r>
    </w:p>
    <w:p w14:paraId="5415AAD7" w14:textId="1E65027C" w:rsidR="00785840" w:rsidRDefault="00BD08A1" w:rsidP="00BD08A1">
      <w:pPr>
        <w:pStyle w:val="Prrafodelista"/>
        <w:numPr>
          <w:ilvl w:val="0"/>
          <w:numId w:val="15"/>
        </w:numPr>
        <w:rPr>
          <w:sz w:val="22"/>
          <w:lang w:val="es-ES_tradnl"/>
        </w:rPr>
      </w:pPr>
      <w:r>
        <w:rPr>
          <w:b/>
          <w:bCs/>
          <w:sz w:val="22"/>
          <w:lang w:val="es-ES_tradnl"/>
        </w:rPr>
        <w:t>En materia de ambiente</w:t>
      </w:r>
      <w:r w:rsidRPr="00BD08A1">
        <w:rPr>
          <w:sz w:val="22"/>
          <w:lang w:val="es-ES_tradnl"/>
        </w:rPr>
        <w:t>:</w:t>
      </w:r>
      <w:r>
        <w:rPr>
          <w:sz w:val="22"/>
          <w:lang w:val="es-ES_tradnl"/>
        </w:rPr>
        <w:t xml:space="preserve"> la regulación de estándares y patrones que garanticen la calidad ambiental y el establecimiento de un régimen local de servidumbre y delimitación de las riberas de ríos, lagos y arroyos</w:t>
      </w:r>
      <w:r w:rsidR="00944210">
        <w:rPr>
          <w:sz w:val="22"/>
          <w:lang w:val="es-ES_tradnl"/>
        </w:rPr>
        <w:t>, entre otras</w:t>
      </w:r>
      <w:r w:rsidR="00E16B65">
        <w:rPr>
          <w:rStyle w:val="Refdenotaalpie"/>
          <w:sz w:val="22"/>
          <w:lang w:val="es-ES_tradnl"/>
        </w:rPr>
        <w:footnoteReference w:id="22"/>
      </w:r>
      <w:r>
        <w:rPr>
          <w:sz w:val="22"/>
          <w:lang w:val="es-ES_tradnl"/>
        </w:rPr>
        <w:t xml:space="preserve">. </w:t>
      </w:r>
    </w:p>
    <w:p w14:paraId="0F450EA5" w14:textId="2027D09E" w:rsidR="00BD08A1" w:rsidRDefault="00944210" w:rsidP="00BD08A1">
      <w:pPr>
        <w:pStyle w:val="Prrafodelista"/>
        <w:numPr>
          <w:ilvl w:val="0"/>
          <w:numId w:val="15"/>
        </w:numPr>
        <w:rPr>
          <w:sz w:val="22"/>
          <w:lang w:val="es-ES_tradnl"/>
        </w:rPr>
      </w:pPr>
      <w:r>
        <w:rPr>
          <w:b/>
          <w:bCs/>
          <w:sz w:val="22"/>
          <w:lang w:val="es-ES_tradnl"/>
        </w:rPr>
        <w:t>En materia de espectáculos públicos y lugares de concurrencia pública</w:t>
      </w:r>
      <w:r>
        <w:rPr>
          <w:sz w:val="22"/>
          <w:lang w:val="es-ES_tradnl"/>
        </w:rPr>
        <w:t>: la reglamentación de espectáculos públicos y lugares privados de acceso público, entre otras</w:t>
      </w:r>
      <w:r w:rsidR="00E16B65">
        <w:rPr>
          <w:rStyle w:val="Refdenotaalpie"/>
          <w:sz w:val="22"/>
          <w:lang w:val="es-ES_tradnl"/>
        </w:rPr>
        <w:footnoteReference w:id="23"/>
      </w:r>
      <w:r>
        <w:rPr>
          <w:sz w:val="22"/>
          <w:lang w:val="es-ES_tradnl"/>
        </w:rPr>
        <w:t xml:space="preserve">. </w:t>
      </w:r>
    </w:p>
    <w:p w14:paraId="33F31926" w14:textId="4CFA8279" w:rsidR="00944210" w:rsidRDefault="00944210" w:rsidP="00BD08A1">
      <w:pPr>
        <w:pStyle w:val="Prrafodelista"/>
        <w:numPr>
          <w:ilvl w:val="0"/>
          <w:numId w:val="15"/>
        </w:numPr>
        <w:rPr>
          <w:sz w:val="22"/>
          <w:lang w:val="es-ES_tradnl"/>
        </w:rPr>
      </w:pPr>
      <w:r>
        <w:rPr>
          <w:b/>
          <w:bCs/>
          <w:sz w:val="22"/>
          <w:lang w:val="es-ES_tradnl"/>
        </w:rPr>
        <w:t>En materia de patrimonio histórico y cultural</w:t>
      </w:r>
      <w:r w:rsidRPr="00944210">
        <w:rPr>
          <w:sz w:val="22"/>
          <w:lang w:val="es-ES_tradnl"/>
        </w:rPr>
        <w:t>:</w:t>
      </w:r>
      <w:r>
        <w:rPr>
          <w:sz w:val="22"/>
          <w:lang w:val="es-ES_tradnl"/>
        </w:rPr>
        <w:t xml:space="preserve"> la preservación del patrimonio cultural, arqueológico, histórico o artístico, y de sitios o lugares de valor ambiental o paisajístico, entre otras</w:t>
      </w:r>
      <w:r w:rsidR="00E16B65">
        <w:rPr>
          <w:rStyle w:val="Refdenotaalpie"/>
          <w:sz w:val="22"/>
          <w:lang w:val="es-ES_tradnl"/>
        </w:rPr>
        <w:footnoteReference w:id="24"/>
      </w:r>
      <w:r>
        <w:rPr>
          <w:sz w:val="22"/>
          <w:lang w:val="es-ES_tradnl"/>
        </w:rPr>
        <w:t xml:space="preserve">. </w:t>
      </w:r>
    </w:p>
    <w:p w14:paraId="6483AF82" w14:textId="6A3FEB26" w:rsidR="00944210" w:rsidRDefault="00944210" w:rsidP="00BD08A1">
      <w:pPr>
        <w:pStyle w:val="Prrafodelista"/>
        <w:numPr>
          <w:ilvl w:val="0"/>
          <w:numId w:val="15"/>
        </w:numPr>
        <w:rPr>
          <w:sz w:val="22"/>
          <w:lang w:val="es-ES_tradnl"/>
        </w:rPr>
      </w:pPr>
      <w:r>
        <w:rPr>
          <w:b/>
          <w:bCs/>
          <w:sz w:val="22"/>
          <w:lang w:val="es-ES_tradnl"/>
        </w:rPr>
        <w:t>En materia de salud, higiene y salubridad</w:t>
      </w:r>
      <w:r w:rsidRPr="00944210">
        <w:rPr>
          <w:sz w:val="22"/>
          <w:lang w:val="es-ES_tradnl"/>
        </w:rPr>
        <w:t>:</w:t>
      </w:r>
      <w:r>
        <w:rPr>
          <w:sz w:val="22"/>
          <w:lang w:val="es-ES_tradnl"/>
        </w:rPr>
        <w:t xml:space="preserve"> la reglamentación de condiciones higiénicas de manipulación, producción, traslado y comercialización de comestibles y bebidas; la reglamentación de condiciones higiénicas de los locales donde se fabriquen, guarden o expendan comestibles o bebidas de cualquier naturaleza; la reglamentación de condiciones higiénicas de locales y espacios de concurrencia pública; la protección de los derechos de los consumidores y la elaboración de planes municipales de salud, entre otras</w:t>
      </w:r>
      <w:r w:rsidR="00E16B65">
        <w:rPr>
          <w:rStyle w:val="Refdenotaalpie"/>
          <w:sz w:val="22"/>
          <w:lang w:val="es-ES_tradnl"/>
        </w:rPr>
        <w:footnoteReference w:id="25"/>
      </w:r>
      <w:r>
        <w:rPr>
          <w:sz w:val="22"/>
          <w:lang w:val="es-ES_tradnl"/>
        </w:rPr>
        <w:t xml:space="preserve">. </w:t>
      </w:r>
    </w:p>
    <w:p w14:paraId="393D04BF" w14:textId="70071AF2" w:rsidR="00944210" w:rsidRDefault="00944210" w:rsidP="00BD08A1">
      <w:pPr>
        <w:pStyle w:val="Prrafodelista"/>
        <w:numPr>
          <w:ilvl w:val="0"/>
          <w:numId w:val="15"/>
        </w:numPr>
        <w:rPr>
          <w:sz w:val="22"/>
          <w:lang w:val="es-ES_tradnl"/>
        </w:rPr>
      </w:pPr>
      <w:r>
        <w:rPr>
          <w:b/>
          <w:bCs/>
          <w:sz w:val="22"/>
          <w:lang w:val="es-ES_tradnl"/>
        </w:rPr>
        <w:t>En materia de educación, cultura y deporte</w:t>
      </w:r>
      <w:r w:rsidRPr="00944210">
        <w:rPr>
          <w:sz w:val="22"/>
          <w:lang w:val="es-ES_tradnl"/>
        </w:rPr>
        <w:t>:</w:t>
      </w:r>
      <w:r>
        <w:rPr>
          <w:sz w:val="22"/>
          <w:lang w:val="es-ES_tradnl"/>
        </w:rPr>
        <w:t xml:space="preserve"> el fomento de la contribución privada a la educación y el fomento de la cultura, el deporte y el turismo, entre otras</w:t>
      </w:r>
      <w:r w:rsidR="00E16B65">
        <w:rPr>
          <w:rStyle w:val="Refdenotaalpie"/>
          <w:sz w:val="22"/>
          <w:lang w:val="es-ES_tradnl"/>
        </w:rPr>
        <w:footnoteReference w:id="26"/>
      </w:r>
      <w:r>
        <w:rPr>
          <w:sz w:val="22"/>
          <w:lang w:val="es-ES_tradnl"/>
        </w:rPr>
        <w:t xml:space="preserve">. </w:t>
      </w:r>
    </w:p>
    <w:p w14:paraId="45160C06" w14:textId="1D8B7E3A" w:rsidR="00944210" w:rsidRDefault="00944210" w:rsidP="00BD08A1">
      <w:pPr>
        <w:pStyle w:val="Prrafodelista"/>
        <w:numPr>
          <w:ilvl w:val="0"/>
          <w:numId w:val="15"/>
        </w:numPr>
        <w:rPr>
          <w:sz w:val="22"/>
          <w:lang w:val="es-ES_tradnl"/>
        </w:rPr>
      </w:pPr>
      <w:r>
        <w:rPr>
          <w:b/>
          <w:bCs/>
          <w:sz w:val="22"/>
          <w:lang w:val="es-ES_tradnl"/>
        </w:rPr>
        <w:t>En materia de desarrollo productivo</w:t>
      </w:r>
      <w:r w:rsidRPr="00944210">
        <w:rPr>
          <w:sz w:val="22"/>
          <w:lang w:val="es-ES_tradnl"/>
        </w:rPr>
        <w:t>:</w:t>
      </w:r>
      <w:r>
        <w:rPr>
          <w:sz w:val="22"/>
          <w:lang w:val="es-ES_tradnl"/>
        </w:rPr>
        <w:t xml:space="preserve"> la prestación de servicios de asistencia técnica </w:t>
      </w:r>
      <w:r>
        <w:rPr>
          <w:sz w:val="22"/>
          <w:lang w:val="es-ES_tradnl"/>
        </w:rPr>
        <w:lastRenderedPageBreak/>
        <w:t>y de promoción de las micro y pequeñas empresas y de emprendimientos, entre otras</w:t>
      </w:r>
      <w:r w:rsidR="00E16B65">
        <w:rPr>
          <w:rStyle w:val="Refdenotaalpie"/>
          <w:sz w:val="22"/>
          <w:lang w:val="es-ES_tradnl"/>
        </w:rPr>
        <w:footnoteReference w:id="27"/>
      </w:r>
      <w:r>
        <w:rPr>
          <w:sz w:val="22"/>
          <w:lang w:val="es-ES_tradnl"/>
        </w:rPr>
        <w:t xml:space="preserve">. </w:t>
      </w:r>
    </w:p>
    <w:p w14:paraId="6A5A1C52" w14:textId="35885D08" w:rsidR="00944210" w:rsidRDefault="00E16B65" w:rsidP="00BD08A1">
      <w:pPr>
        <w:pStyle w:val="Prrafodelista"/>
        <w:numPr>
          <w:ilvl w:val="0"/>
          <w:numId w:val="15"/>
        </w:numPr>
        <w:rPr>
          <w:sz w:val="22"/>
          <w:lang w:val="es-ES_tradnl"/>
        </w:rPr>
      </w:pPr>
      <w:r>
        <w:rPr>
          <w:b/>
          <w:bCs/>
          <w:sz w:val="22"/>
          <w:lang w:val="es-ES_tradnl"/>
        </w:rPr>
        <w:t>Otras funciones</w:t>
      </w:r>
      <w:r w:rsidR="00944210" w:rsidRPr="00944210">
        <w:rPr>
          <w:sz w:val="22"/>
          <w:lang w:val="es-ES_tradnl"/>
        </w:rPr>
        <w:t>:</w:t>
      </w:r>
      <w:r w:rsidR="00944210">
        <w:rPr>
          <w:sz w:val="22"/>
          <w:lang w:val="es-ES_tradnl"/>
        </w:rPr>
        <w:t xml:space="preserve"> </w:t>
      </w:r>
      <w:r>
        <w:rPr>
          <w:sz w:val="22"/>
          <w:lang w:val="es-ES_tradnl"/>
        </w:rPr>
        <w:t>la reglamentación de apertura, control y funcionamiento de casas de empeño e institutos municipales de crédito; entre otras</w:t>
      </w:r>
      <w:r>
        <w:rPr>
          <w:rStyle w:val="Refdenotaalpie"/>
          <w:sz w:val="22"/>
          <w:lang w:val="es-ES_tradnl"/>
        </w:rPr>
        <w:footnoteReference w:id="28"/>
      </w:r>
      <w:r>
        <w:rPr>
          <w:sz w:val="22"/>
          <w:lang w:val="es-ES_tradnl"/>
        </w:rPr>
        <w:t xml:space="preserve">. </w:t>
      </w:r>
    </w:p>
    <w:p w14:paraId="1077539C" w14:textId="3E7F4F9B" w:rsidR="00BD08A1" w:rsidRDefault="00F5107B" w:rsidP="00133E46">
      <w:pPr>
        <w:rPr>
          <w:sz w:val="22"/>
          <w:lang w:val="es-ES_tradnl"/>
        </w:rPr>
      </w:pPr>
      <w:r>
        <w:rPr>
          <w:sz w:val="22"/>
          <w:lang w:val="es-ES_tradnl"/>
        </w:rPr>
        <w:t>En el marco de estas funciones, señala la normativa, las municipalidades podrán dictar y ejecutar las ordenanzas, reglamentos y resoluciones</w:t>
      </w:r>
      <w:r>
        <w:rPr>
          <w:rStyle w:val="Refdenotaalpie"/>
          <w:sz w:val="22"/>
          <w:lang w:val="es-ES_tradnl"/>
        </w:rPr>
        <w:footnoteReference w:id="29"/>
      </w:r>
      <w:r>
        <w:rPr>
          <w:sz w:val="22"/>
          <w:lang w:val="es-ES_tradnl"/>
        </w:rPr>
        <w:t>, conceder licencias o revocarlas</w:t>
      </w:r>
      <w:r>
        <w:rPr>
          <w:rStyle w:val="Refdenotaalpie"/>
          <w:sz w:val="22"/>
          <w:lang w:val="es-ES_tradnl"/>
        </w:rPr>
        <w:footnoteReference w:id="30"/>
      </w:r>
      <w:r>
        <w:rPr>
          <w:sz w:val="22"/>
          <w:lang w:val="es-ES_tradnl"/>
        </w:rPr>
        <w:t xml:space="preserve">. Se establece como condición de ejercicio de las funciones que sea </w:t>
      </w:r>
      <w:r w:rsidRPr="00F5107B">
        <w:rPr>
          <w:i/>
          <w:iCs/>
          <w:sz w:val="22"/>
          <w:lang w:val="es-ES_tradnl"/>
        </w:rPr>
        <w:t>de</w:t>
      </w:r>
      <w:r>
        <w:rPr>
          <w:sz w:val="22"/>
          <w:lang w:val="es-ES_tradnl"/>
        </w:rPr>
        <w:t xml:space="preserve"> </w:t>
      </w:r>
      <w:r>
        <w:rPr>
          <w:i/>
          <w:iCs/>
          <w:sz w:val="22"/>
          <w:lang w:val="es-ES_tradnl"/>
        </w:rPr>
        <w:t>conformidad a la legislación aplicable y en coordinación con las autoridades nacionales y departamentales competentes</w:t>
      </w:r>
      <w:r>
        <w:rPr>
          <w:rStyle w:val="Refdenotaalpie"/>
          <w:i/>
          <w:iCs/>
          <w:sz w:val="22"/>
          <w:lang w:val="es-ES_tradnl"/>
        </w:rPr>
        <w:footnoteReference w:id="31"/>
      </w:r>
      <w:r>
        <w:rPr>
          <w:sz w:val="22"/>
          <w:lang w:val="es-ES_tradnl"/>
        </w:rPr>
        <w:t xml:space="preserve">. </w:t>
      </w:r>
    </w:p>
    <w:p w14:paraId="3F8AAF3F" w14:textId="3911087C" w:rsidR="00F5107B" w:rsidRDefault="00F5107B" w:rsidP="00133E46">
      <w:pPr>
        <w:rPr>
          <w:sz w:val="22"/>
          <w:lang w:val="es-ES_tradnl"/>
        </w:rPr>
      </w:pPr>
      <w:r>
        <w:rPr>
          <w:sz w:val="22"/>
          <w:lang w:val="es-ES_tradnl"/>
        </w:rPr>
        <w:t>Igualmente se establece que las municipalidades podrán ejercer otras funciones no enumeradas en la Ley Orgánica Municipal, en tanto no estén supeditadas a un régimen nacional o departamental</w:t>
      </w:r>
      <w:r>
        <w:rPr>
          <w:rStyle w:val="Refdenotaalpie"/>
          <w:sz w:val="22"/>
          <w:lang w:val="es-ES_tradnl"/>
        </w:rPr>
        <w:footnoteReference w:id="32"/>
      </w:r>
      <w:r>
        <w:rPr>
          <w:sz w:val="22"/>
          <w:lang w:val="es-ES_tradnl"/>
        </w:rPr>
        <w:t xml:space="preserve">. </w:t>
      </w:r>
    </w:p>
    <w:p w14:paraId="206B5DF5" w14:textId="519E102E" w:rsidR="00E568D5" w:rsidRDefault="00E568D5" w:rsidP="00133E46">
      <w:pPr>
        <w:rPr>
          <w:sz w:val="22"/>
          <w:lang w:val="es-ES_tradnl"/>
        </w:rPr>
      </w:pPr>
      <w:r>
        <w:rPr>
          <w:sz w:val="22"/>
          <w:lang w:val="es-ES_tradnl"/>
        </w:rPr>
        <w:t xml:space="preserve">No puede desconocerse así la función regulatoria de las municipalidades y, </w:t>
      </w:r>
      <w:r w:rsidR="0078297C">
        <w:rPr>
          <w:sz w:val="22"/>
          <w:lang w:val="es-ES_tradnl"/>
        </w:rPr>
        <w:t>debido a</w:t>
      </w:r>
      <w:r>
        <w:rPr>
          <w:sz w:val="22"/>
          <w:lang w:val="es-ES_tradnl"/>
        </w:rPr>
        <w:t xml:space="preserve"> que puede incidir en el funcionamiento de los mercados, es necesario que la misma sea ejecutada tomando en cuenta </w:t>
      </w:r>
      <w:r w:rsidR="0078297C">
        <w:rPr>
          <w:sz w:val="22"/>
          <w:lang w:val="es-ES_tradnl"/>
        </w:rPr>
        <w:t xml:space="preserve">las medidas apropiadas para no limitar injustificadamente </w:t>
      </w:r>
      <w:r>
        <w:rPr>
          <w:sz w:val="22"/>
          <w:lang w:val="es-ES_tradnl"/>
        </w:rPr>
        <w:t xml:space="preserve">el derecho constitucional a la competencia. </w:t>
      </w:r>
    </w:p>
    <w:p w14:paraId="600A69A8" w14:textId="4073B045" w:rsidR="00BD08A1" w:rsidRDefault="00BD08A1" w:rsidP="00BD08A1">
      <w:pPr>
        <w:pStyle w:val="Ttulo2"/>
      </w:pPr>
      <w:bookmarkStart w:id="20" w:name="_Toc160698837"/>
      <w:r>
        <w:t>Contrataciones públicas municipales</w:t>
      </w:r>
      <w:bookmarkEnd w:id="20"/>
    </w:p>
    <w:p w14:paraId="47FBA90B" w14:textId="08E4C538" w:rsidR="00BD08A1" w:rsidRDefault="00BD08A1" w:rsidP="00BD08A1">
      <w:pPr>
        <w:rPr>
          <w:sz w:val="22"/>
          <w:lang w:val="es-ES_tradnl"/>
        </w:rPr>
      </w:pPr>
      <w:r>
        <w:rPr>
          <w:sz w:val="22"/>
          <w:lang w:val="es-ES_tradnl"/>
        </w:rPr>
        <w:t xml:space="preserve">Es importante mencionar que, si bien las licitaciones públicas y otros procedimientos de contratación no son actos regulatorios, pueden tener efectos similares en caso de que determinen el acceso a un mercado, por lo que debe precautelarse que las bases y condiciones de los llamados no contengan requerimientos que constituyan barreras injustificadas a la competencia, de manera similar a las regulaciones. </w:t>
      </w:r>
    </w:p>
    <w:p w14:paraId="4C9D1B44" w14:textId="77777777" w:rsidR="00BD08A1" w:rsidRDefault="00BD08A1" w:rsidP="00BD08A1">
      <w:pPr>
        <w:rPr>
          <w:sz w:val="22"/>
          <w:lang w:val="es-ES_tradnl"/>
        </w:rPr>
      </w:pPr>
    </w:p>
    <w:p w14:paraId="6A782501" w14:textId="77777777" w:rsidR="00BD08A1" w:rsidRPr="00BD08A1" w:rsidRDefault="00BD08A1" w:rsidP="00BD08A1">
      <w:pPr>
        <w:rPr>
          <w:sz w:val="22"/>
          <w:lang w:val="es-ES_tradnl"/>
        </w:rPr>
      </w:pPr>
    </w:p>
    <w:p w14:paraId="4DC71FBC" w14:textId="77777777" w:rsidR="00EC239E" w:rsidRPr="001152C4" w:rsidRDefault="00EC239E">
      <w:pPr>
        <w:widowControl/>
        <w:spacing w:before="0" w:line="259" w:lineRule="auto"/>
        <w:jc w:val="left"/>
        <w:rPr>
          <w:sz w:val="22"/>
          <w:lang w:val="es-ES_tradnl"/>
        </w:rPr>
      </w:pPr>
      <w:r w:rsidRPr="001152C4">
        <w:rPr>
          <w:sz w:val="22"/>
          <w:lang w:val="es-ES_tradnl"/>
        </w:rPr>
        <w:br w:type="page"/>
      </w:r>
    </w:p>
    <w:p w14:paraId="09374D2B" w14:textId="77777777" w:rsidR="00264535" w:rsidRPr="001152C4" w:rsidRDefault="00264535" w:rsidP="00D234AB">
      <w:pPr>
        <w:rPr>
          <w:sz w:val="22"/>
          <w:lang w:val="es-ES_tradnl"/>
        </w:rPr>
      </w:pPr>
    </w:p>
    <w:p w14:paraId="2B64D1E0" w14:textId="47E84A61" w:rsidR="006830FD" w:rsidRPr="001152C4" w:rsidRDefault="006830FD" w:rsidP="006830FD">
      <w:pPr>
        <w:pStyle w:val="Ttulo1"/>
        <w:rPr>
          <w:sz w:val="22"/>
          <w:lang w:val="es-ES_tradnl"/>
        </w:rPr>
      </w:pPr>
      <w:bookmarkStart w:id="21" w:name="_Toc160698838"/>
      <w:r w:rsidRPr="001152C4">
        <w:rPr>
          <w:sz w:val="22"/>
          <w:lang w:val="es-ES_tradnl"/>
        </w:rPr>
        <w:t>Identificación de barreras regulatorias</w:t>
      </w:r>
      <w:r w:rsidR="00422CD9" w:rsidRPr="001152C4">
        <w:rPr>
          <w:sz w:val="22"/>
          <w:lang w:val="es-ES_tradnl"/>
        </w:rPr>
        <w:t xml:space="preserve"> a la competencia</w:t>
      </w:r>
      <w:bookmarkEnd w:id="21"/>
    </w:p>
    <w:p w14:paraId="3B645666" w14:textId="7F28BD42" w:rsidR="00024432" w:rsidRPr="001152C4" w:rsidRDefault="00024432" w:rsidP="00024432">
      <w:pPr>
        <w:rPr>
          <w:sz w:val="22"/>
          <w:lang w:val="es-ES_tradnl"/>
        </w:rPr>
      </w:pPr>
      <w:r w:rsidRPr="001152C4">
        <w:rPr>
          <w:sz w:val="22"/>
          <w:lang w:val="es-ES_tradnl"/>
        </w:rPr>
        <w:t>Como se mencionó anteriormente y se considera prudente reiterar, el primer paso para el análisis del impacto regulatorio en la competencia es la identificación de las barreras regulatorias. Una barrera regulatoria a la competencia puede ser definida como una norma que</w:t>
      </w:r>
      <w:r w:rsidR="003F5127">
        <w:rPr>
          <w:sz w:val="22"/>
          <w:lang w:val="es-ES_tradnl"/>
        </w:rPr>
        <w:t>,</w:t>
      </w:r>
      <w:r w:rsidRPr="001152C4">
        <w:rPr>
          <w:sz w:val="22"/>
          <w:lang w:val="es-ES_tradnl"/>
        </w:rPr>
        <w:t xml:space="preserve"> en principio</w:t>
      </w:r>
      <w:r w:rsidR="003F5127">
        <w:rPr>
          <w:sz w:val="22"/>
          <w:lang w:val="es-ES_tradnl"/>
        </w:rPr>
        <w:t>,</w:t>
      </w:r>
      <w:r w:rsidRPr="001152C4">
        <w:rPr>
          <w:sz w:val="22"/>
          <w:lang w:val="es-ES_tradnl"/>
        </w:rPr>
        <w:t xml:space="preserve"> tiene un impacto negativo en la competencia, por impedirla o restringirla. </w:t>
      </w:r>
    </w:p>
    <w:p w14:paraId="78F76204" w14:textId="67917FB8" w:rsidR="00275314" w:rsidRPr="001152C4" w:rsidRDefault="00024432" w:rsidP="00275314">
      <w:pPr>
        <w:rPr>
          <w:sz w:val="22"/>
          <w:lang w:val="es-ES_tradnl"/>
        </w:rPr>
      </w:pPr>
      <w:r w:rsidRPr="001152C4">
        <w:rPr>
          <w:sz w:val="22"/>
          <w:lang w:val="es-ES_tradnl"/>
        </w:rPr>
        <w:t>Las barreras regulatorias pueden tener diversos efectos. Algunas limitan la cantidad de empresas que pueden operar en un mercado</w:t>
      </w:r>
      <w:r w:rsidR="004F2359" w:rsidRPr="001152C4">
        <w:rPr>
          <w:sz w:val="22"/>
          <w:lang w:val="es-ES_tradnl"/>
        </w:rPr>
        <w:t xml:space="preserve">, mientras que otras afectan la capacidad o la motivación para competir. Además, algunas normas que no están dirigidas a los proveedores, sino a los </w:t>
      </w:r>
      <w:r w:rsidR="00B2378A">
        <w:rPr>
          <w:sz w:val="22"/>
          <w:lang w:val="es-ES_tradnl"/>
        </w:rPr>
        <w:t>compradores</w:t>
      </w:r>
      <w:r w:rsidR="004F2359" w:rsidRPr="001152C4">
        <w:rPr>
          <w:sz w:val="22"/>
          <w:lang w:val="es-ES_tradnl"/>
        </w:rPr>
        <w:t xml:space="preserve">, también pueden restringir la competencia. </w:t>
      </w:r>
      <w:r w:rsidR="003F5127">
        <w:rPr>
          <w:sz w:val="22"/>
          <w:lang w:val="es-ES_tradnl"/>
        </w:rPr>
        <w:t>Sin embargo, l</w:t>
      </w:r>
      <w:r w:rsidR="00431190" w:rsidRPr="001152C4">
        <w:rPr>
          <w:sz w:val="22"/>
          <w:lang w:val="es-ES_tradnl"/>
        </w:rPr>
        <w:t xml:space="preserve">a mera existencia de una barrera a la competencia </w:t>
      </w:r>
      <w:r w:rsidR="000F55DB" w:rsidRPr="001152C4">
        <w:rPr>
          <w:sz w:val="22"/>
          <w:lang w:val="es-ES_tradnl"/>
        </w:rPr>
        <w:t xml:space="preserve">no implica que </w:t>
      </w:r>
      <w:r w:rsidRPr="001152C4">
        <w:rPr>
          <w:sz w:val="22"/>
          <w:lang w:val="es-ES_tradnl"/>
        </w:rPr>
        <w:t xml:space="preserve">una norma deba ser modificada, derogada o rechazada, debiendo </w:t>
      </w:r>
      <w:r w:rsidR="004F2359" w:rsidRPr="001152C4">
        <w:rPr>
          <w:sz w:val="22"/>
          <w:lang w:val="es-ES_tradnl"/>
        </w:rPr>
        <w:t xml:space="preserve">posteriormente realizarse el análisis de </w:t>
      </w:r>
      <w:r w:rsidR="00BF5A93" w:rsidRPr="001152C4">
        <w:rPr>
          <w:sz w:val="22"/>
          <w:lang w:val="es-ES_tradnl"/>
        </w:rPr>
        <w:t xml:space="preserve">su </w:t>
      </w:r>
      <w:r w:rsidR="004F2359" w:rsidRPr="001152C4">
        <w:rPr>
          <w:sz w:val="22"/>
          <w:lang w:val="es-ES_tradnl"/>
        </w:rPr>
        <w:t>justificación</w:t>
      </w:r>
      <w:r w:rsidR="00BF5A93" w:rsidRPr="001152C4">
        <w:rPr>
          <w:sz w:val="22"/>
          <w:lang w:val="es-ES_tradnl"/>
        </w:rPr>
        <w:t xml:space="preserve">. </w:t>
      </w:r>
    </w:p>
    <w:p w14:paraId="6CAD9697" w14:textId="0FA11ADB" w:rsidR="008D45D5" w:rsidRDefault="003F6E01" w:rsidP="003F6E01">
      <w:pPr>
        <w:rPr>
          <w:sz w:val="22"/>
          <w:lang w:val="es-ES_tradnl"/>
        </w:rPr>
      </w:pPr>
      <w:r>
        <w:rPr>
          <w:sz w:val="22"/>
          <w:lang w:val="es-ES_tradnl"/>
        </w:rPr>
        <w:t xml:space="preserve">En su </w:t>
      </w:r>
      <w:r>
        <w:rPr>
          <w:i/>
          <w:iCs/>
          <w:sz w:val="22"/>
          <w:lang w:val="es-ES_tradnl"/>
        </w:rPr>
        <w:t>Guía para la regulación con criterios de competencia</w:t>
      </w:r>
      <w:r>
        <w:rPr>
          <w:sz w:val="22"/>
          <w:lang w:val="es-ES_tradnl"/>
        </w:rPr>
        <w:t>, la CONACOM adaptó</w:t>
      </w:r>
      <w:r>
        <w:rPr>
          <w:rStyle w:val="Refdenotaalpie"/>
          <w:sz w:val="22"/>
          <w:lang w:val="es-ES_tradnl"/>
        </w:rPr>
        <w:footnoteReference w:id="33"/>
      </w:r>
      <w:r>
        <w:rPr>
          <w:sz w:val="22"/>
          <w:lang w:val="es-ES_tradnl"/>
        </w:rPr>
        <w:t xml:space="preserve"> los criterios señalados por la </w:t>
      </w:r>
      <w:r w:rsidR="004F2359" w:rsidRPr="001152C4">
        <w:rPr>
          <w:sz w:val="22"/>
          <w:lang w:val="es-ES_tradnl"/>
        </w:rPr>
        <w:t>Organización para la Cooperación y el Desarrollo Económicos (OCDE) para identificar barreras regulatorias</w:t>
      </w:r>
      <w:r>
        <w:rPr>
          <w:sz w:val="22"/>
          <w:lang w:val="es-ES_tradnl"/>
        </w:rPr>
        <w:t>,</w:t>
      </w:r>
      <w:r w:rsidR="009F50EC" w:rsidRPr="001152C4">
        <w:rPr>
          <w:rStyle w:val="Refdenotaalpie"/>
          <w:sz w:val="22"/>
          <w:lang w:val="es-ES_tradnl"/>
        </w:rPr>
        <w:footnoteReference w:id="34"/>
      </w:r>
      <w:r>
        <w:rPr>
          <w:sz w:val="22"/>
          <w:lang w:val="es-ES_tradnl"/>
        </w:rPr>
        <w:t xml:space="preserve"> siguiendo además ejemplos de aplicación local de autoridades de competencia como las de </w:t>
      </w:r>
      <w:r w:rsidR="008D45D5" w:rsidRPr="001152C4">
        <w:rPr>
          <w:sz w:val="22"/>
          <w:lang w:val="es-ES_tradnl"/>
        </w:rPr>
        <w:t>México</w:t>
      </w:r>
      <w:r w:rsidR="008D45D5" w:rsidRPr="001152C4">
        <w:rPr>
          <w:rStyle w:val="Refdenotaalpie"/>
          <w:sz w:val="22"/>
          <w:lang w:val="es-ES_tradnl"/>
        </w:rPr>
        <w:footnoteReference w:id="35"/>
      </w:r>
      <w:r w:rsidR="008D45D5" w:rsidRPr="001152C4">
        <w:rPr>
          <w:sz w:val="22"/>
          <w:lang w:val="es-ES_tradnl"/>
        </w:rPr>
        <w:t>, Andalucía</w:t>
      </w:r>
      <w:r w:rsidR="0034211D" w:rsidRPr="001152C4">
        <w:rPr>
          <w:sz w:val="22"/>
          <w:lang w:val="es-ES_tradnl"/>
        </w:rPr>
        <w:t xml:space="preserve"> en España</w:t>
      </w:r>
      <w:r w:rsidR="008D45D5" w:rsidRPr="001152C4">
        <w:rPr>
          <w:rStyle w:val="Refdenotaalpie"/>
          <w:sz w:val="22"/>
          <w:lang w:val="es-ES_tradnl"/>
        </w:rPr>
        <w:footnoteReference w:id="36"/>
      </w:r>
      <w:r w:rsidR="00D04F91" w:rsidRPr="001152C4">
        <w:rPr>
          <w:sz w:val="22"/>
          <w:lang w:val="es-ES_tradnl"/>
        </w:rPr>
        <w:t xml:space="preserve"> </w:t>
      </w:r>
      <w:r w:rsidR="009C304F" w:rsidRPr="001152C4">
        <w:rPr>
          <w:sz w:val="22"/>
          <w:lang w:val="es-ES_tradnl"/>
        </w:rPr>
        <w:t>y</w:t>
      </w:r>
      <w:r w:rsidR="00064386" w:rsidRPr="001152C4">
        <w:rPr>
          <w:sz w:val="22"/>
          <w:lang w:val="es-ES_tradnl"/>
        </w:rPr>
        <w:t xml:space="preserve"> Canadá</w:t>
      </w:r>
      <w:r w:rsidR="00064386" w:rsidRPr="001152C4">
        <w:rPr>
          <w:rStyle w:val="Refdenotaalpie"/>
          <w:sz w:val="22"/>
          <w:lang w:val="es-ES_tradnl"/>
        </w:rPr>
        <w:footnoteReference w:id="37"/>
      </w:r>
      <w:r w:rsidR="008D45D5" w:rsidRPr="001152C4">
        <w:rPr>
          <w:sz w:val="22"/>
          <w:lang w:val="es-ES_tradnl"/>
        </w:rPr>
        <w:t xml:space="preserve">. </w:t>
      </w:r>
    </w:p>
    <w:p w14:paraId="1D2169D3" w14:textId="6A7F00B1" w:rsidR="003F6E01" w:rsidRPr="001152C4" w:rsidRDefault="003F6E01" w:rsidP="003F6E01">
      <w:pPr>
        <w:rPr>
          <w:sz w:val="22"/>
          <w:lang w:val="es-ES_tradnl"/>
        </w:rPr>
      </w:pPr>
      <w:r w:rsidRPr="001152C4">
        <w:rPr>
          <w:sz w:val="22"/>
          <w:lang w:val="es-ES_tradnl"/>
        </w:rPr>
        <w:t xml:space="preserve">La </w:t>
      </w:r>
      <w:r>
        <w:rPr>
          <w:sz w:val="22"/>
          <w:lang w:val="es-ES_tradnl"/>
        </w:rPr>
        <w:t xml:space="preserve">lista </w:t>
      </w:r>
      <w:r w:rsidRPr="001152C4">
        <w:rPr>
          <w:sz w:val="22"/>
          <w:lang w:val="es-ES_tradnl"/>
        </w:rPr>
        <w:t xml:space="preserve">incluye diversos indicadores clasificados por los efectos esperados en la competencia que conllevan. La lista se aplica de manera progresiva: es decir, se sigue un orden de indicadores hasta identificar aquel en el que se encuadra la normativa bajo análisis. No es necesario que una norma cumpla con varios indicadores para ser considerada una barrera regulatoria: basta que se cumpla con uno de ellos. </w:t>
      </w:r>
    </w:p>
    <w:p w14:paraId="426E68B9" w14:textId="193D4E7D" w:rsidR="003F6E01" w:rsidRDefault="003F6E01" w:rsidP="00275314">
      <w:pPr>
        <w:rPr>
          <w:sz w:val="22"/>
          <w:lang w:val="es-ES_tradnl"/>
        </w:rPr>
      </w:pPr>
      <w:r>
        <w:rPr>
          <w:sz w:val="22"/>
          <w:lang w:val="es-ES_tradnl"/>
        </w:rPr>
        <w:t xml:space="preserve">En la presente Guía, se presentarán los diferentes criterios, ilustrándolos con ejemplos, especialmente para aquellos casos en los que la CONACOM se ha expedido con relación a normas municipales. </w:t>
      </w:r>
    </w:p>
    <w:p w14:paraId="0E417A0D" w14:textId="43703357" w:rsidR="009F50EC" w:rsidRPr="001152C4" w:rsidRDefault="00D04F91" w:rsidP="00275314">
      <w:pPr>
        <w:rPr>
          <w:sz w:val="22"/>
          <w:lang w:val="es-ES_tradnl"/>
        </w:rPr>
      </w:pPr>
      <w:r w:rsidRPr="001152C4">
        <w:rPr>
          <w:sz w:val="22"/>
          <w:lang w:val="es-ES_tradnl"/>
        </w:rPr>
        <w:lastRenderedPageBreak/>
        <w:t xml:space="preserve">La lista es la siguiente: </w:t>
      </w:r>
    </w:p>
    <w:tbl>
      <w:tblPr>
        <w:tblStyle w:val="Tablaconcuadrcula"/>
        <w:tblW w:w="0" w:type="auto"/>
        <w:tblLook w:val="04A0" w:firstRow="1" w:lastRow="0" w:firstColumn="1" w:lastColumn="0" w:noHBand="0" w:noVBand="1"/>
      </w:tblPr>
      <w:tblGrid>
        <w:gridCol w:w="934"/>
        <w:gridCol w:w="2322"/>
        <w:gridCol w:w="567"/>
        <w:gridCol w:w="4690"/>
        <w:gridCol w:w="549"/>
      </w:tblGrid>
      <w:tr w:rsidR="009C304F" w:rsidRPr="001152C4" w14:paraId="68741A96" w14:textId="77777777" w:rsidTr="002A66DF">
        <w:trPr>
          <w:tblHeader/>
        </w:trPr>
        <w:tc>
          <w:tcPr>
            <w:tcW w:w="934" w:type="dxa"/>
            <w:shd w:val="clear" w:color="auto" w:fill="BFBFBF" w:themeFill="background1" w:themeFillShade="BF"/>
            <w:vAlign w:val="center"/>
          </w:tcPr>
          <w:p w14:paraId="1C53FFCE" w14:textId="726BABE4" w:rsidR="009C304F" w:rsidRPr="001152C4" w:rsidRDefault="009C304F" w:rsidP="00980232">
            <w:pPr>
              <w:spacing w:before="80" w:after="80"/>
              <w:jc w:val="left"/>
              <w:rPr>
                <w:b/>
                <w:bCs/>
                <w:sz w:val="22"/>
                <w:lang w:val="es-ES_tradnl"/>
              </w:rPr>
            </w:pPr>
            <w:r w:rsidRPr="001152C4">
              <w:rPr>
                <w:b/>
                <w:bCs/>
                <w:sz w:val="22"/>
                <w:lang w:val="es-ES_tradnl"/>
              </w:rPr>
              <w:t>Orden</w:t>
            </w:r>
          </w:p>
        </w:tc>
        <w:tc>
          <w:tcPr>
            <w:tcW w:w="2322" w:type="dxa"/>
            <w:shd w:val="clear" w:color="auto" w:fill="BFBFBF" w:themeFill="background1" w:themeFillShade="BF"/>
            <w:vAlign w:val="center"/>
          </w:tcPr>
          <w:p w14:paraId="5D89547B" w14:textId="639DF4D6" w:rsidR="009C304F" w:rsidRPr="001152C4" w:rsidRDefault="009C304F" w:rsidP="00980232">
            <w:pPr>
              <w:spacing w:before="80" w:after="80"/>
              <w:jc w:val="left"/>
              <w:rPr>
                <w:b/>
                <w:bCs/>
                <w:sz w:val="22"/>
                <w:lang w:val="es-ES_tradnl"/>
              </w:rPr>
            </w:pPr>
            <w:r w:rsidRPr="001152C4">
              <w:rPr>
                <w:b/>
                <w:bCs/>
                <w:sz w:val="22"/>
                <w:lang w:val="es-ES_tradnl"/>
              </w:rPr>
              <w:t>Efecto</w:t>
            </w:r>
          </w:p>
        </w:tc>
        <w:tc>
          <w:tcPr>
            <w:tcW w:w="5257" w:type="dxa"/>
            <w:gridSpan w:val="2"/>
            <w:shd w:val="clear" w:color="auto" w:fill="BFBFBF" w:themeFill="background1" w:themeFillShade="BF"/>
          </w:tcPr>
          <w:p w14:paraId="787AD9EF" w14:textId="4B49873C" w:rsidR="009C304F" w:rsidRPr="001152C4" w:rsidRDefault="009C304F" w:rsidP="00980232">
            <w:pPr>
              <w:spacing w:before="80" w:after="80"/>
              <w:jc w:val="left"/>
              <w:rPr>
                <w:b/>
                <w:bCs/>
                <w:sz w:val="22"/>
                <w:lang w:val="es-ES_tradnl"/>
              </w:rPr>
            </w:pPr>
            <w:r w:rsidRPr="001152C4">
              <w:rPr>
                <w:b/>
                <w:bCs/>
                <w:sz w:val="22"/>
                <w:lang w:val="es-ES_tradnl"/>
              </w:rPr>
              <w:t>Indicador</w:t>
            </w:r>
          </w:p>
        </w:tc>
        <w:tc>
          <w:tcPr>
            <w:tcW w:w="549" w:type="dxa"/>
            <w:shd w:val="clear" w:color="auto" w:fill="BFBFBF" w:themeFill="background1" w:themeFillShade="BF"/>
            <w:vAlign w:val="center"/>
          </w:tcPr>
          <w:p w14:paraId="1C078B34" w14:textId="01994CA2" w:rsidR="009C304F" w:rsidRPr="001152C4" w:rsidRDefault="009C304F" w:rsidP="00980232">
            <w:pPr>
              <w:spacing w:before="80" w:after="80"/>
              <w:jc w:val="left"/>
              <w:rPr>
                <w:b/>
                <w:bCs/>
                <w:sz w:val="22"/>
                <w:lang w:val="es-ES_tradnl"/>
              </w:rPr>
            </w:pPr>
            <w:r w:rsidRPr="001152C4">
              <w:rPr>
                <w:b/>
                <w:bCs/>
                <w:sz w:val="22"/>
                <w:lang w:val="es-ES_tradnl"/>
              </w:rPr>
              <w:sym w:font="Wingdings" w:char="F0FC"/>
            </w:r>
          </w:p>
        </w:tc>
      </w:tr>
      <w:tr w:rsidR="00491386" w:rsidRPr="001152C4" w14:paraId="1E7C7A8B" w14:textId="77777777" w:rsidTr="002A66DF">
        <w:tc>
          <w:tcPr>
            <w:tcW w:w="934" w:type="dxa"/>
            <w:vMerge w:val="restart"/>
            <w:vAlign w:val="center"/>
          </w:tcPr>
          <w:p w14:paraId="492CDE62" w14:textId="56D8A72B" w:rsidR="00491386" w:rsidRPr="001152C4" w:rsidRDefault="00491386" w:rsidP="00980232">
            <w:pPr>
              <w:spacing w:before="80" w:after="80"/>
              <w:jc w:val="left"/>
              <w:rPr>
                <w:b/>
                <w:bCs/>
                <w:sz w:val="22"/>
                <w:lang w:val="es-ES_tradnl"/>
              </w:rPr>
            </w:pPr>
            <w:r w:rsidRPr="001152C4">
              <w:rPr>
                <w:b/>
                <w:bCs/>
                <w:sz w:val="22"/>
                <w:lang w:val="es-ES_tradnl"/>
              </w:rPr>
              <w:t>1</w:t>
            </w:r>
          </w:p>
        </w:tc>
        <w:tc>
          <w:tcPr>
            <w:tcW w:w="2322" w:type="dxa"/>
            <w:vMerge w:val="restart"/>
            <w:vAlign w:val="center"/>
          </w:tcPr>
          <w:p w14:paraId="595C3309" w14:textId="3CB78013" w:rsidR="00491386" w:rsidRPr="001152C4" w:rsidRDefault="00491386" w:rsidP="00980232">
            <w:pPr>
              <w:spacing w:before="80" w:after="80"/>
              <w:jc w:val="left"/>
              <w:rPr>
                <w:sz w:val="22"/>
                <w:lang w:val="es-ES_tradnl"/>
              </w:rPr>
            </w:pPr>
            <w:r w:rsidRPr="001152C4">
              <w:rPr>
                <w:sz w:val="22"/>
                <w:lang w:val="es-ES_tradnl"/>
              </w:rPr>
              <w:t xml:space="preserve">Limita la cantidad de proveedores. </w:t>
            </w:r>
          </w:p>
        </w:tc>
        <w:tc>
          <w:tcPr>
            <w:tcW w:w="567" w:type="dxa"/>
          </w:tcPr>
          <w:p w14:paraId="4D21A3C8" w14:textId="1985D13E" w:rsidR="00491386" w:rsidRPr="001152C4" w:rsidRDefault="00491386" w:rsidP="00980232">
            <w:pPr>
              <w:spacing w:before="80" w:after="80"/>
              <w:jc w:val="left"/>
              <w:rPr>
                <w:sz w:val="22"/>
                <w:lang w:val="es-ES_tradnl"/>
              </w:rPr>
            </w:pPr>
            <w:r w:rsidRPr="001152C4">
              <w:rPr>
                <w:sz w:val="22"/>
                <w:lang w:val="es-ES_tradnl"/>
              </w:rPr>
              <w:t>1.1</w:t>
            </w:r>
          </w:p>
        </w:tc>
        <w:tc>
          <w:tcPr>
            <w:tcW w:w="4690" w:type="dxa"/>
            <w:vAlign w:val="center"/>
          </w:tcPr>
          <w:p w14:paraId="411ECD84" w14:textId="7D46EA33" w:rsidR="00491386" w:rsidRPr="001152C4" w:rsidRDefault="00491386" w:rsidP="00980232">
            <w:pPr>
              <w:spacing w:before="80" w:after="80"/>
              <w:jc w:val="left"/>
              <w:rPr>
                <w:sz w:val="22"/>
                <w:lang w:val="es-ES_tradnl"/>
              </w:rPr>
            </w:pPr>
            <w:r w:rsidRPr="001152C4">
              <w:rPr>
                <w:sz w:val="22"/>
                <w:lang w:val="es-ES_tradnl"/>
              </w:rPr>
              <w:t xml:space="preserve">Otorga derechos exclusivos a un proveedor para </w:t>
            </w:r>
            <w:r w:rsidR="002A0E4B" w:rsidRPr="001152C4">
              <w:rPr>
                <w:sz w:val="22"/>
                <w:lang w:val="es-ES_tradnl"/>
              </w:rPr>
              <w:t xml:space="preserve">un bien o servicio. </w:t>
            </w:r>
          </w:p>
        </w:tc>
        <w:tc>
          <w:tcPr>
            <w:tcW w:w="549" w:type="dxa"/>
            <w:vAlign w:val="center"/>
          </w:tcPr>
          <w:p w14:paraId="55BF1459" w14:textId="77777777" w:rsidR="00491386" w:rsidRPr="001152C4" w:rsidRDefault="00491386" w:rsidP="00980232">
            <w:pPr>
              <w:spacing w:before="80" w:after="80"/>
              <w:jc w:val="left"/>
              <w:rPr>
                <w:sz w:val="22"/>
                <w:lang w:val="es-ES_tradnl"/>
              </w:rPr>
            </w:pPr>
          </w:p>
        </w:tc>
      </w:tr>
      <w:tr w:rsidR="00F25294" w:rsidRPr="001152C4" w14:paraId="653830AE" w14:textId="77777777" w:rsidTr="002A66DF">
        <w:tc>
          <w:tcPr>
            <w:tcW w:w="934" w:type="dxa"/>
            <w:vMerge/>
            <w:vAlign w:val="center"/>
          </w:tcPr>
          <w:p w14:paraId="6A8C401B" w14:textId="77777777" w:rsidR="00F25294" w:rsidRPr="001152C4" w:rsidRDefault="00F25294" w:rsidP="00980232">
            <w:pPr>
              <w:spacing w:before="80" w:after="80"/>
              <w:jc w:val="left"/>
              <w:rPr>
                <w:b/>
                <w:bCs/>
                <w:sz w:val="22"/>
                <w:lang w:val="es-ES_tradnl"/>
              </w:rPr>
            </w:pPr>
          </w:p>
        </w:tc>
        <w:tc>
          <w:tcPr>
            <w:tcW w:w="2322" w:type="dxa"/>
            <w:vMerge/>
            <w:vAlign w:val="center"/>
          </w:tcPr>
          <w:p w14:paraId="21844D23" w14:textId="77777777" w:rsidR="00F25294" w:rsidRPr="001152C4" w:rsidRDefault="00F25294" w:rsidP="00980232">
            <w:pPr>
              <w:spacing w:before="80" w:after="80"/>
              <w:jc w:val="left"/>
              <w:rPr>
                <w:sz w:val="22"/>
                <w:lang w:val="es-ES_tradnl"/>
              </w:rPr>
            </w:pPr>
          </w:p>
        </w:tc>
        <w:tc>
          <w:tcPr>
            <w:tcW w:w="567" w:type="dxa"/>
          </w:tcPr>
          <w:p w14:paraId="6B8FFED2" w14:textId="4FAA787F" w:rsidR="00F25294" w:rsidRPr="001152C4" w:rsidRDefault="00F25294" w:rsidP="00980232">
            <w:pPr>
              <w:spacing w:before="80" w:after="80"/>
              <w:jc w:val="left"/>
              <w:rPr>
                <w:sz w:val="22"/>
                <w:lang w:val="es-ES_tradnl"/>
              </w:rPr>
            </w:pPr>
            <w:r w:rsidRPr="001152C4">
              <w:rPr>
                <w:sz w:val="22"/>
                <w:lang w:val="es-ES_tradnl"/>
              </w:rPr>
              <w:t>1.2</w:t>
            </w:r>
          </w:p>
        </w:tc>
        <w:tc>
          <w:tcPr>
            <w:tcW w:w="4690" w:type="dxa"/>
            <w:vAlign w:val="center"/>
          </w:tcPr>
          <w:p w14:paraId="0E2FA698" w14:textId="3C167174" w:rsidR="00F25294" w:rsidRPr="001152C4" w:rsidRDefault="003F5127" w:rsidP="00980232">
            <w:pPr>
              <w:spacing w:before="80" w:after="80"/>
              <w:jc w:val="left"/>
              <w:rPr>
                <w:sz w:val="22"/>
                <w:lang w:val="es-ES_tradnl"/>
              </w:rPr>
            </w:pPr>
            <w:r w:rsidRPr="001152C4">
              <w:rPr>
                <w:sz w:val="22"/>
                <w:lang w:val="es-ES_tradnl"/>
              </w:rPr>
              <w:t>Establece el requisito de obtención de una habilitación, que puede consistir en licencias, permisos o autorizaciones, para operar</w:t>
            </w:r>
            <w:r w:rsidR="00F25294" w:rsidRPr="001152C4">
              <w:rPr>
                <w:sz w:val="22"/>
                <w:lang w:val="es-ES_tradnl"/>
              </w:rPr>
              <w:t xml:space="preserve">. </w:t>
            </w:r>
          </w:p>
        </w:tc>
        <w:tc>
          <w:tcPr>
            <w:tcW w:w="549" w:type="dxa"/>
            <w:vAlign w:val="center"/>
          </w:tcPr>
          <w:p w14:paraId="5516C2B3" w14:textId="77777777" w:rsidR="00F25294" w:rsidRPr="001152C4" w:rsidRDefault="00F25294" w:rsidP="00980232">
            <w:pPr>
              <w:spacing w:before="80" w:after="80"/>
              <w:jc w:val="left"/>
              <w:rPr>
                <w:sz w:val="22"/>
                <w:lang w:val="es-ES_tradnl"/>
              </w:rPr>
            </w:pPr>
          </w:p>
        </w:tc>
      </w:tr>
      <w:tr w:rsidR="00491386" w:rsidRPr="001152C4" w14:paraId="27C008CA" w14:textId="77777777" w:rsidTr="002A66DF">
        <w:tc>
          <w:tcPr>
            <w:tcW w:w="934" w:type="dxa"/>
            <w:vMerge/>
            <w:vAlign w:val="center"/>
          </w:tcPr>
          <w:p w14:paraId="2875E2AA" w14:textId="77777777" w:rsidR="00491386" w:rsidRPr="001152C4" w:rsidRDefault="00491386" w:rsidP="00980232">
            <w:pPr>
              <w:spacing w:before="80" w:after="80"/>
              <w:jc w:val="left"/>
              <w:rPr>
                <w:b/>
                <w:bCs/>
                <w:sz w:val="22"/>
                <w:lang w:val="es-ES_tradnl"/>
              </w:rPr>
            </w:pPr>
          </w:p>
        </w:tc>
        <w:tc>
          <w:tcPr>
            <w:tcW w:w="2322" w:type="dxa"/>
            <w:vMerge/>
            <w:vAlign w:val="center"/>
          </w:tcPr>
          <w:p w14:paraId="4D856820" w14:textId="77777777" w:rsidR="00491386" w:rsidRPr="001152C4" w:rsidRDefault="00491386" w:rsidP="00980232">
            <w:pPr>
              <w:spacing w:before="80" w:after="80"/>
              <w:jc w:val="left"/>
              <w:rPr>
                <w:sz w:val="22"/>
                <w:lang w:val="es-ES_tradnl"/>
              </w:rPr>
            </w:pPr>
          </w:p>
        </w:tc>
        <w:tc>
          <w:tcPr>
            <w:tcW w:w="567" w:type="dxa"/>
          </w:tcPr>
          <w:p w14:paraId="575D9603" w14:textId="03346C82" w:rsidR="00491386" w:rsidRPr="001152C4" w:rsidRDefault="00491386" w:rsidP="00980232">
            <w:pPr>
              <w:spacing w:before="80" w:after="80"/>
              <w:jc w:val="left"/>
              <w:rPr>
                <w:sz w:val="22"/>
                <w:lang w:val="es-ES_tradnl"/>
              </w:rPr>
            </w:pPr>
            <w:r w:rsidRPr="001152C4">
              <w:rPr>
                <w:sz w:val="22"/>
                <w:lang w:val="es-ES_tradnl"/>
              </w:rPr>
              <w:t>1.</w:t>
            </w:r>
            <w:r w:rsidR="00F25294" w:rsidRPr="001152C4">
              <w:rPr>
                <w:sz w:val="22"/>
                <w:lang w:val="es-ES_tradnl"/>
              </w:rPr>
              <w:t>3</w:t>
            </w:r>
          </w:p>
        </w:tc>
        <w:tc>
          <w:tcPr>
            <w:tcW w:w="4690" w:type="dxa"/>
            <w:vAlign w:val="center"/>
          </w:tcPr>
          <w:p w14:paraId="11F881B3" w14:textId="2C4A4626" w:rsidR="00491386" w:rsidRPr="001152C4" w:rsidRDefault="003F5127" w:rsidP="00980232">
            <w:pPr>
              <w:spacing w:before="80" w:after="80"/>
              <w:jc w:val="left"/>
              <w:rPr>
                <w:sz w:val="22"/>
                <w:lang w:val="es-ES_tradnl"/>
              </w:rPr>
            </w:pPr>
            <w:r w:rsidRPr="001152C4">
              <w:rPr>
                <w:sz w:val="22"/>
                <w:lang w:val="es-ES_tradnl"/>
              </w:rPr>
              <w:t>Establece una pluralidad fija de proveedores para un bien o servicio</w:t>
            </w:r>
            <w:r w:rsidR="00491386" w:rsidRPr="001152C4">
              <w:rPr>
                <w:sz w:val="22"/>
                <w:lang w:val="es-ES_tradnl"/>
              </w:rPr>
              <w:t xml:space="preserve">. </w:t>
            </w:r>
          </w:p>
        </w:tc>
        <w:tc>
          <w:tcPr>
            <w:tcW w:w="549" w:type="dxa"/>
            <w:vAlign w:val="center"/>
          </w:tcPr>
          <w:p w14:paraId="05945CFD" w14:textId="77777777" w:rsidR="00491386" w:rsidRPr="001152C4" w:rsidRDefault="00491386" w:rsidP="00980232">
            <w:pPr>
              <w:spacing w:before="80" w:after="80"/>
              <w:jc w:val="left"/>
              <w:rPr>
                <w:sz w:val="22"/>
                <w:lang w:val="es-ES_tradnl"/>
              </w:rPr>
            </w:pPr>
          </w:p>
        </w:tc>
      </w:tr>
      <w:tr w:rsidR="00491386" w:rsidRPr="001152C4" w14:paraId="72214267" w14:textId="77777777" w:rsidTr="002A66DF">
        <w:tc>
          <w:tcPr>
            <w:tcW w:w="934" w:type="dxa"/>
            <w:vMerge/>
            <w:vAlign w:val="center"/>
          </w:tcPr>
          <w:p w14:paraId="0D1DEDAD" w14:textId="77777777" w:rsidR="00491386" w:rsidRPr="001152C4" w:rsidRDefault="00491386" w:rsidP="00980232">
            <w:pPr>
              <w:spacing w:before="80" w:after="80"/>
              <w:jc w:val="left"/>
              <w:rPr>
                <w:b/>
                <w:bCs/>
                <w:sz w:val="22"/>
                <w:lang w:val="es-ES_tradnl"/>
              </w:rPr>
            </w:pPr>
          </w:p>
        </w:tc>
        <w:tc>
          <w:tcPr>
            <w:tcW w:w="2322" w:type="dxa"/>
            <w:vMerge/>
            <w:vAlign w:val="center"/>
          </w:tcPr>
          <w:p w14:paraId="5033B37A" w14:textId="77777777" w:rsidR="00491386" w:rsidRPr="001152C4" w:rsidRDefault="00491386" w:rsidP="00980232">
            <w:pPr>
              <w:spacing w:before="80" w:after="80"/>
              <w:jc w:val="left"/>
              <w:rPr>
                <w:sz w:val="22"/>
                <w:lang w:val="es-ES_tradnl"/>
              </w:rPr>
            </w:pPr>
          </w:p>
        </w:tc>
        <w:tc>
          <w:tcPr>
            <w:tcW w:w="567" w:type="dxa"/>
          </w:tcPr>
          <w:p w14:paraId="0673F0DF" w14:textId="09DBDE32" w:rsidR="00491386" w:rsidRPr="001152C4" w:rsidRDefault="00491386" w:rsidP="00980232">
            <w:pPr>
              <w:spacing w:before="80" w:after="80"/>
              <w:jc w:val="left"/>
              <w:rPr>
                <w:sz w:val="22"/>
                <w:lang w:val="es-ES_tradnl"/>
              </w:rPr>
            </w:pPr>
            <w:r w:rsidRPr="001152C4">
              <w:rPr>
                <w:sz w:val="22"/>
                <w:lang w:val="es-ES_tradnl"/>
              </w:rPr>
              <w:t>1.</w:t>
            </w:r>
            <w:r w:rsidR="00F25294" w:rsidRPr="001152C4">
              <w:rPr>
                <w:sz w:val="22"/>
                <w:lang w:val="es-ES_tradnl"/>
              </w:rPr>
              <w:t>4</w:t>
            </w:r>
          </w:p>
        </w:tc>
        <w:tc>
          <w:tcPr>
            <w:tcW w:w="4690" w:type="dxa"/>
            <w:vAlign w:val="center"/>
          </w:tcPr>
          <w:p w14:paraId="6A7940E9" w14:textId="3C50E528" w:rsidR="00491386" w:rsidRPr="001152C4" w:rsidRDefault="00491386" w:rsidP="00980232">
            <w:pPr>
              <w:spacing w:before="80" w:after="80"/>
              <w:jc w:val="left"/>
              <w:rPr>
                <w:sz w:val="22"/>
                <w:lang w:val="es-ES_tradnl"/>
              </w:rPr>
            </w:pPr>
            <w:r w:rsidRPr="001152C4">
              <w:rPr>
                <w:sz w:val="22"/>
                <w:lang w:val="es-ES_tradnl"/>
              </w:rPr>
              <w:t xml:space="preserve">Limita la capacidad de ciertos proveedores para prestar un servicio u ofrecer un bien. </w:t>
            </w:r>
          </w:p>
        </w:tc>
        <w:tc>
          <w:tcPr>
            <w:tcW w:w="549" w:type="dxa"/>
            <w:vAlign w:val="center"/>
          </w:tcPr>
          <w:p w14:paraId="48BC1292" w14:textId="77777777" w:rsidR="00491386" w:rsidRPr="001152C4" w:rsidRDefault="00491386" w:rsidP="00980232">
            <w:pPr>
              <w:spacing w:before="80" w:after="80"/>
              <w:jc w:val="left"/>
              <w:rPr>
                <w:sz w:val="22"/>
                <w:lang w:val="es-ES_tradnl"/>
              </w:rPr>
            </w:pPr>
          </w:p>
        </w:tc>
      </w:tr>
      <w:tr w:rsidR="00491386" w:rsidRPr="001152C4" w14:paraId="1682E1DC" w14:textId="77777777" w:rsidTr="002A66DF">
        <w:tc>
          <w:tcPr>
            <w:tcW w:w="934" w:type="dxa"/>
            <w:vMerge/>
            <w:vAlign w:val="center"/>
          </w:tcPr>
          <w:p w14:paraId="00FD61AF" w14:textId="77777777" w:rsidR="00491386" w:rsidRPr="001152C4" w:rsidRDefault="00491386" w:rsidP="00980232">
            <w:pPr>
              <w:spacing w:before="80" w:after="80"/>
              <w:jc w:val="left"/>
              <w:rPr>
                <w:b/>
                <w:bCs/>
                <w:sz w:val="22"/>
                <w:lang w:val="es-ES_tradnl"/>
              </w:rPr>
            </w:pPr>
          </w:p>
        </w:tc>
        <w:tc>
          <w:tcPr>
            <w:tcW w:w="2322" w:type="dxa"/>
            <w:vMerge/>
            <w:vAlign w:val="center"/>
          </w:tcPr>
          <w:p w14:paraId="13991838" w14:textId="77777777" w:rsidR="00491386" w:rsidRPr="001152C4" w:rsidRDefault="00491386" w:rsidP="00980232">
            <w:pPr>
              <w:spacing w:before="80" w:after="80"/>
              <w:jc w:val="left"/>
              <w:rPr>
                <w:sz w:val="22"/>
                <w:lang w:val="es-ES_tradnl"/>
              </w:rPr>
            </w:pPr>
          </w:p>
        </w:tc>
        <w:tc>
          <w:tcPr>
            <w:tcW w:w="567" w:type="dxa"/>
          </w:tcPr>
          <w:p w14:paraId="0ECAC938" w14:textId="24A114C0" w:rsidR="00491386" w:rsidRPr="001152C4" w:rsidRDefault="00491386" w:rsidP="00980232">
            <w:pPr>
              <w:spacing w:before="80" w:after="80"/>
              <w:jc w:val="left"/>
              <w:rPr>
                <w:sz w:val="22"/>
                <w:lang w:val="es-PY"/>
              </w:rPr>
            </w:pPr>
            <w:r w:rsidRPr="001152C4">
              <w:rPr>
                <w:sz w:val="22"/>
                <w:lang w:val="es-PY"/>
              </w:rPr>
              <w:t>1.</w:t>
            </w:r>
            <w:r w:rsidR="00F25294" w:rsidRPr="001152C4">
              <w:rPr>
                <w:sz w:val="22"/>
                <w:lang w:val="es-PY"/>
              </w:rPr>
              <w:t>5</w:t>
            </w:r>
          </w:p>
        </w:tc>
        <w:tc>
          <w:tcPr>
            <w:tcW w:w="4690" w:type="dxa"/>
            <w:vAlign w:val="center"/>
          </w:tcPr>
          <w:p w14:paraId="7342E52C" w14:textId="28EC5D7A" w:rsidR="00491386" w:rsidRPr="001152C4" w:rsidRDefault="00491386" w:rsidP="00980232">
            <w:pPr>
              <w:spacing w:before="80" w:after="80"/>
              <w:jc w:val="left"/>
              <w:rPr>
                <w:sz w:val="22"/>
                <w:lang w:val="es-PY"/>
              </w:rPr>
            </w:pPr>
            <w:r w:rsidRPr="001152C4">
              <w:rPr>
                <w:sz w:val="22"/>
                <w:lang w:val="es-PY"/>
              </w:rPr>
              <w:t xml:space="preserve">Eleva de forma significativa el costo de entrada o salida para un proveedor. </w:t>
            </w:r>
          </w:p>
        </w:tc>
        <w:tc>
          <w:tcPr>
            <w:tcW w:w="549" w:type="dxa"/>
            <w:vAlign w:val="center"/>
          </w:tcPr>
          <w:p w14:paraId="685EC39A" w14:textId="77777777" w:rsidR="00491386" w:rsidRPr="001152C4" w:rsidRDefault="00491386" w:rsidP="00980232">
            <w:pPr>
              <w:spacing w:before="80" w:after="80"/>
              <w:jc w:val="left"/>
              <w:rPr>
                <w:sz w:val="22"/>
                <w:lang w:val="es-PY"/>
              </w:rPr>
            </w:pPr>
          </w:p>
        </w:tc>
      </w:tr>
      <w:tr w:rsidR="00491386" w:rsidRPr="001152C4" w14:paraId="418B26C9" w14:textId="77777777" w:rsidTr="002A66DF">
        <w:tc>
          <w:tcPr>
            <w:tcW w:w="934" w:type="dxa"/>
            <w:vMerge/>
            <w:vAlign w:val="center"/>
          </w:tcPr>
          <w:p w14:paraId="361F7284" w14:textId="77777777" w:rsidR="00491386" w:rsidRPr="001152C4" w:rsidRDefault="00491386" w:rsidP="00980232">
            <w:pPr>
              <w:spacing w:before="80" w:after="80"/>
              <w:jc w:val="left"/>
              <w:rPr>
                <w:b/>
                <w:bCs/>
                <w:sz w:val="22"/>
                <w:lang w:val="es-PY"/>
              </w:rPr>
            </w:pPr>
          </w:p>
        </w:tc>
        <w:tc>
          <w:tcPr>
            <w:tcW w:w="2322" w:type="dxa"/>
            <w:vMerge/>
            <w:vAlign w:val="center"/>
          </w:tcPr>
          <w:p w14:paraId="6F78F144" w14:textId="77777777" w:rsidR="00491386" w:rsidRPr="001152C4" w:rsidRDefault="00491386" w:rsidP="00980232">
            <w:pPr>
              <w:spacing w:before="80" w:after="80"/>
              <w:jc w:val="left"/>
              <w:rPr>
                <w:sz w:val="22"/>
                <w:lang w:val="es-PY"/>
              </w:rPr>
            </w:pPr>
          </w:p>
        </w:tc>
        <w:tc>
          <w:tcPr>
            <w:tcW w:w="567" w:type="dxa"/>
          </w:tcPr>
          <w:p w14:paraId="60C21498" w14:textId="3CB4FC18" w:rsidR="00491386" w:rsidRPr="001152C4" w:rsidRDefault="00491386" w:rsidP="00980232">
            <w:pPr>
              <w:spacing w:before="80" w:after="80"/>
              <w:jc w:val="left"/>
              <w:rPr>
                <w:sz w:val="22"/>
                <w:lang w:val="es-PY"/>
              </w:rPr>
            </w:pPr>
            <w:r w:rsidRPr="001152C4">
              <w:rPr>
                <w:sz w:val="22"/>
                <w:lang w:val="es-PY"/>
              </w:rPr>
              <w:t>1.</w:t>
            </w:r>
            <w:r w:rsidR="00F25294" w:rsidRPr="001152C4">
              <w:rPr>
                <w:sz w:val="22"/>
                <w:lang w:val="es-PY"/>
              </w:rPr>
              <w:t>6</w:t>
            </w:r>
          </w:p>
        </w:tc>
        <w:tc>
          <w:tcPr>
            <w:tcW w:w="4690" w:type="dxa"/>
            <w:vAlign w:val="center"/>
          </w:tcPr>
          <w:p w14:paraId="0DCCAA34" w14:textId="38D56F1E" w:rsidR="00491386" w:rsidRPr="001152C4" w:rsidRDefault="00491386" w:rsidP="00980232">
            <w:pPr>
              <w:spacing w:before="80" w:after="80"/>
              <w:jc w:val="left"/>
              <w:rPr>
                <w:sz w:val="22"/>
                <w:lang w:val="es-PY"/>
              </w:rPr>
            </w:pPr>
            <w:r w:rsidRPr="001152C4">
              <w:rPr>
                <w:sz w:val="22"/>
                <w:lang w:val="es-PY"/>
              </w:rPr>
              <w:t xml:space="preserve">Crea una barrera geográfica a la capacidad de las empresas de </w:t>
            </w:r>
            <w:r w:rsidR="00AA129B" w:rsidRPr="001152C4">
              <w:rPr>
                <w:sz w:val="22"/>
                <w:lang w:val="es-PY"/>
              </w:rPr>
              <w:t xml:space="preserve">ofertar o invertir. </w:t>
            </w:r>
          </w:p>
        </w:tc>
        <w:tc>
          <w:tcPr>
            <w:tcW w:w="549" w:type="dxa"/>
            <w:vAlign w:val="center"/>
          </w:tcPr>
          <w:p w14:paraId="7FAA40F6" w14:textId="77777777" w:rsidR="00491386" w:rsidRPr="001152C4" w:rsidRDefault="00491386" w:rsidP="00980232">
            <w:pPr>
              <w:spacing w:before="80" w:after="80"/>
              <w:jc w:val="left"/>
              <w:rPr>
                <w:sz w:val="22"/>
                <w:lang w:val="es-PY"/>
              </w:rPr>
            </w:pPr>
          </w:p>
        </w:tc>
      </w:tr>
      <w:tr w:rsidR="00491386" w:rsidRPr="001152C4" w14:paraId="367D6166" w14:textId="77777777" w:rsidTr="002A66DF">
        <w:tc>
          <w:tcPr>
            <w:tcW w:w="934" w:type="dxa"/>
            <w:vMerge w:val="restart"/>
            <w:vAlign w:val="center"/>
          </w:tcPr>
          <w:p w14:paraId="125BCBF5" w14:textId="640A6D8F" w:rsidR="00491386" w:rsidRPr="001152C4" w:rsidRDefault="00491386" w:rsidP="00980232">
            <w:pPr>
              <w:spacing w:before="80" w:after="80"/>
              <w:jc w:val="left"/>
              <w:rPr>
                <w:b/>
                <w:bCs/>
                <w:sz w:val="22"/>
                <w:lang w:val="es-PY"/>
              </w:rPr>
            </w:pPr>
            <w:r w:rsidRPr="001152C4">
              <w:rPr>
                <w:b/>
                <w:bCs/>
                <w:sz w:val="22"/>
                <w:lang w:val="es-PY"/>
              </w:rPr>
              <w:t>2</w:t>
            </w:r>
          </w:p>
        </w:tc>
        <w:tc>
          <w:tcPr>
            <w:tcW w:w="2322" w:type="dxa"/>
            <w:vMerge w:val="restart"/>
            <w:vAlign w:val="center"/>
          </w:tcPr>
          <w:p w14:paraId="66AC2ECC" w14:textId="7785C96A" w:rsidR="00491386" w:rsidRPr="001152C4" w:rsidRDefault="00491386" w:rsidP="00980232">
            <w:pPr>
              <w:spacing w:before="80" w:after="80"/>
              <w:jc w:val="left"/>
              <w:rPr>
                <w:sz w:val="22"/>
                <w:lang w:val="es-PY"/>
              </w:rPr>
            </w:pPr>
            <w:r w:rsidRPr="001152C4">
              <w:rPr>
                <w:sz w:val="22"/>
                <w:lang w:val="es-PY"/>
              </w:rPr>
              <w:t xml:space="preserve">Limita la capacidad competitiva de los proveedores. </w:t>
            </w:r>
          </w:p>
        </w:tc>
        <w:tc>
          <w:tcPr>
            <w:tcW w:w="567" w:type="dxa"/>
          </w:tcPr>
          <w:p w14:paraId="6F9EB003" w14:textId="14058C40" w:rsidR="00491386" w:rsidRPr="001152C4" w:rsidRDefault="00491386" w:rsidP="00980232">
            <w:pPr>
              <w:spacing w:before="80" w:after="80"/>
              <w:jc w:val="left"/>
              <w:rPr>
                <w:sz w:val="22"/>
                <w:lang w:val="es-PY"/>
              </w:rPr>
            </w:pPr>
            <w:r w:rsidRPr="001152C4">
              <w:rPr>
                <w:sz w:val="22"/>
                <w:lang w:val="es-PY"/>
              </w:rPr>
              <w:t>2.1</w:t>
            </w:r>
          </w:p>
        </w:tc>
        <w:tc>
          <w:tcPr>
            <w:tcW w:w="4690" w:type="dxa"/>
            <w:vAlign w:val="center"/>
          </w:tcPr>
          <w:p w14:paraId="768C3C2C" w14:textId="442A0EBE" w:rsidR="00491386" w:rsidRPr="001152C4" w:rsidRDefault="00491386" w:rsidP="00980232">
            <w:pPr>
              <w:spacing w:before="80" w:after="80"/>
              <w:jc w:val="left"/>
              <w:rPr>
                <w:sz w:val="22"/>
                <w:lang w:val="es-PY"/>
              </w:rPr>
            </w:pPr>
            <w:r w:rsidRPr="001152C4">
              <w:rPr>
                <w:sz w:val="22"/>
                <w:lang w:val="es-PY"/>
              </w:rPr>
              <w:t xml:space="preserve">Limita la capacidad de los vendedores de establecer los precios de bienes o servicios. </w:t>
            </w:r>
          </w:p>
        </w:tc>
        <w:tc>
          <w:tcPr>
            <w:tcW w:w="549" w:type="dxa"/>
            <w:vAlign w:val="center"/>
          </w:tcPr>
          <w:p w14:paraId="7CED4BAF" w14:textId="77777777" w:rsidR="00491386" w:rsidRPr="001152C4" w:rsidRDefault="00491386" w:rsidP="00980232">
            <w:pPr>
              <w:spacing w:before="80" w:after="80"/>
              <w:jc w:val="left"/>
              <w:rPr>
                <w:sz w:val="22"/>
                <w:lang w:val="es-PY"/>
              </w:rPr>
            </w:pPr>
          </w:p>
        </w:tc>
      </w:tr>
      <w:tr w:rsidR="00491386" w:rsidRPr="001152C4" w14:paraId="5FEAAE17" w14:textId="77777777" w:rsidTr="002A66DF">
        <w:tc>
          <w:tcPr>
            <w:tcW w:w="934" w:type="dxa"/>
            <w:vMerge/>
            <w:vAlign w:val="center"/>
          </w:tcPr>
          <w:p w14:paraId="030E6465" w14:textId="77777777" w:rsidR="00491386" w:rsidRPr="001152C4" w:rsidRDefault="00491386" w:rsidP="00980232">
            <w:pPr>
              <w:spacing w:before="80" w:after="80"/>
              <w:jc w:val="left"/>
              <w:rPr>
                <w:b/>
                <w:bCs/>
                <w:sz w:val="22"/>
                <w:lang w:val="es-PY"/>
              </w:rPr>
            </w:pPr>
          </w:p>
        </w:tc>
        <w:tc>
          <w:tcPr>
            <w:tcW w:w="2322" w:type="dxa"/>
            <w:vMerge/>
            <w:vAlign w:val="center"/>
          </w:tcPr>
          <w:p w14:paraId="5A2E1E1A" w14:textId="77777777" w:rsidR="00491386" w:rsidRPr="001152C4" w:rsidRDefault="00491386" w:rsidP="00980232">
            <w:pPr>
              <w:spacing w:before="80" w:after="80"/>
              <w:jc w:val="left"/>
              <w:rPr>
                <w:sz w:val="22"/>
                <w:lang w:val="es-PY"/>
              </w:rPr>
            </w:pPr>
          </w:p>
        </w:tc>
        <w:tc>
          <w:tcPr>
            <w:tcW w:w="567" w:type="dxa"/>
          </w:tcPr>
          <w:p w14:paraId="094A495C" w14:textId="5BD52B34" w:rsidR="00491386" w:rsidRPr="001152C4" w:rsidRDefault="00491386" w:rsidP="00980232">
            <w:pPr>
              <w:spacing w:before="80" w:after="80"/>
              <w:jc w:val="left"/>
              <w:rPr>
                <w:sz w:val="22"/>
                <w:lang w:val="es-PY"/>
              </w:rPr>
            </w:pPr>
            <w:r w:rsidRPr="001152C4">
              <w:rPr>
                <w:sz w:val="22"/>
                <w:lang w:val="es-PY"/>
              </w:rPr>
              <w:t>2.2</w:t>
            </w:r>
          </w:p>
        </w:tc>
        <w:tc>
          <w:tcPr>
            <w:tcW w:w="4690" w:type="dxa"/>
            <w:vAlign w:val="center"/>
          </w:tcPr>
          <w:p w14:paraId="3645BA1E" w14:textId="67C39039" w:rsidR="00491386" w:rsidRPr="001152C4" w:rsidRDefault="00B80BE1" w:rsidP="00980232">
            <w:pPr>
              <w:spacing w:before="80" w:after="80"/>
              <w:jc w:val="left"/>
              <w:rPr>
                <w:sz w:val="22"/>
                <w:lang w:val="es-PY"/>
              </w:rPr>
            </w:pPr>
            <w:r w:rsidRPr="001152C4">
              <w:rPr>
                <w:sz w:val="22"/>
                <w:lang w:val="es-PY"/>
              </w:rPr>
              <w:t xml:space="preserve">Establece normas de calidad de los productores que superen un nivel que elegiría un gran número de consumidores bien informados. </w:t>
            </w:r>
          </w:p>
        </w:tc>
        <w:tc>
          <w:tcPr>
            <w:tcW w:w="549" w:type="dxa"/>
            <w:vAlign w:val="center"/>
          </w:tcPr>
          <w:p w14:paraId="2C01E63E" w14:textId="77777777" w:rsidR="00491386" w:rsidRPr="001152C4" w:rsidRDefault="00491386" w:rsidP="00980232">
            <w:pPr>
              <w:spacing w:before="80" w:after="80"/>
              <w:jc w:val="left"/>
              <w:rPr>
                <w:sz w:val="22"/>
                <w:lang w:val="es-PY"/>
              </w:rPr>
            </w:pPr>
          </w:p>
        </w:tc>
      </w:tr>
      <w:tr w:rsidR="00491386" w:rsidRPr="001152C4" w14:paraId="46D03F59" w14:textId="77777777" w:rsidTr="002A66DF">
        <w:tc>
          <w:tcPr>
            <w:tcW w:w="934" w:type="dxa"/>
            <w:vMerge/>
            <w:vAlign w:val="center"/>
          </w:tcPr>
          <w:p w14:paraId="34F7CFD5" w14:textId="77777777" w:rsidR="00491386" w:rsidRPr="001152C4" w:rsidRDefault="00491386" w:rsidP="00980232">
            <w:pPr>
              <w:spacing w:before="80" w:after="80"/>
              <w:jc w:val="left"/>
              <w:rPr>
                <w:b/>
                <w:bCs/>
                <w:sz w:val="22"/>
                <w:lang w:val="es-PY"/>
              </w:rPr>
            </w:pPr>
          </w:p>
        </w:tc>
        <w:tc>
          <w:tcPr>
            <w:tcW w:w="2322" w:type="dxa"/>
            <w:vMerge/>
            <w:vAlign w:val="center"/>
          </w:tcPr>
          <w:p w14:paraId="21ECF5F9" w14:textId="77777777" w:rsidR="00491386" w:rsidRPr="001152C4" w:rsidRDefault="00491386" w:rsidP="00980232">
            <w:pPr>
              <w:spacing w:before="80" w:after="80"/>
              <w:jc w:val="left"/>
              <w:rPr>
                <w:sz w:val="22"/>
                <w:lang w:val="es-PY"/>
              </w:rPr>
            </w:pPr>
          </w:p>
        </w:tc>
        <w:tc>
          <w:tcPr>
            <w:tcW w:w="567" w:type="dxa"/>
          </w:tcPr>
          <w:p w14:paraId="1AA511E6" w14:textId="0D7DCDBB" w:rsidR="00491386" w:rsidRPr="001152C4" w:rsidRDefault="007218CE" w:rsidP="00980232">
            <w:pPr>
              <w:spacing w:before="80" w:after="80"/>
              <w:jc w:val="left"/>
              <w:rPr>
                <w:sz w:val="22"/>
                <w:lang w:val="es-PY"/>
              </w:rPr>
            </w:pPr>
            <w:r w:rsidRPr="001152C4">
              <w:rPr>
                <w:sz w:val="22"/>
                <w:lang w:val="es-PY"/>
              </w:rPr>
              <w:t>2.3</w:t>
            </w:r>
          </w:p>
        </w:tc>
        <w:tc>
          <w:tcPr>
            <w:tcW w:w="4690" w:type="dxa"/>
            <w:vAlign w:val="center"/>
          </w:tcPr>
          <w:p w14:paraId="49AC601F" w14:textId="7A98B384" w:rsidR="00491386" w:rsidRPr="001152C4" w:rsidRDefault="007218CE" w:rsidP="00980232">
            <w:pPr>
              <w:spacing w:before="80" w:after="80"/>
              <w:jc w:val="left"/>
              <w:rPr>
                <w:sz w:val="22"/>
                <w:lang w:val="es-PY"/>
              </w:rPr>
            </w:pPr>
            <w:r w:rsidRPr="001152C4">
              <w:rPr>
                <w:sz w:val="22"/>
                <w:lang w:val="es-PY"/>
              </w:rPr>
              <w:t xml:space="preserve">Otorga alguna preferencia o ventaja </w:t>
            </w:r>
            <w:r w:rsidR="004454E2" w:rsidRPr="001152C4">
              <w:rPr>
                <w:sz w:val="22"/>
                <w:lang w:val="es-PY"/>
              </w:rPr>
              <w:t xml:space="preserve">en la producción o comercialización </w:t>
            </w:r>
            <w:r w:rsidRPr="001152C4">
              <w:rPr>
                <w:sz w:val="22"/>
                <w:lang w:val="es-PY"/>
              </w:rPr>
              <w:t xml:space="preserve">a un proveedor o un grupo de proveedores. </w:t>
            </w:r>
          </w:p>
        </w:tc>
        <w:tc>
          <w:tcPr>
            <w:tcW w:w="549" w:type="dxa"/>
            <w:vAlign w:val="center"/>
          </w:tcPr>
          <w:p w14:paraId="74F06E9C" w14:textId="77777777" w:rsidR="00491386" w:rsidRPr="001152C4" w:rsidRDefault="00491386" w:rsidP="00980232">
            <w:pPr>
              <w:spacing w:before="80" w:after="80"/>
              <w:jc w:val="left"/>
              <w:rPr>
                <w:sz w:val="22"/>
                <w:lang w:val="es-PY"/>
              </w:rPr>
            </w:pPr>
          </w:p>
        </w:tc>
      </w:tr>
      <w:tr w:rsidR="004454E2" w:rsidRPr="001152C4" w14:paraId="65C174C4" w14:textId="77777777" w:rsidTr="002A66DF">
        <w:tc>
          <w:tcPr>
            <w:tcW w:w="934" w:type="dxa"/>
            <w:vMerge/>
            <w:vAlign w:val="center"/>
          </w:tcPr>
          <w:p w14:paraId="11DD827B" w14:textId="77777777" w:rsidR="004454E2" w:rsidRPr="001152C4" w:rsidRDefault="004454E2" w:rsidP="007218CE">
            <w:pPr>
              <w:spacing w:before="80" w:after="80"/>
              <w:jc w:val="left"/>
              <w:rPr>
                <w:b/>
                <w:bCs/>
                <w:sz w:val="22"/>
                <w:lang w:val="es-PY"/>
              </w:rPr>
            </w:pPr>
          </w:p>
        </w:tc>
        <w:tc>
          <w:tcPr>
            <w:tcW w:w="2322" w:type="dxa"/>
            <w:vMerge/>
            <w:vAlign w:val="center"/>
          </w:tcPr>
          <w:p w14:paraId="79E351F7" w14:textId="77777777" w:rsidR="004454E2" w:rsidRPr="001152C4" w:rsidRDefault="004454E2" w:rsidP="007218CE">
            <w:pPr>
              <w:spacing w:before="80" w:after="80"/>
              <w:jc w:val="left"/>
              <w:rPr>
                <w:sz w:val="22"/>
                <w:lang w:val="es-PY"/>
              </w:rPr>
            </w:pPr>
          </w:p>
        </w:tc>
        <w:tc>
          <w:tcPr>
            <w:tcW w:w="567" w:type="dxa"/>
          </w:tcPr>
          <w:p w14:paraId="20CC7428" w14:textId="474675EE" w:rsidR="004454E2" w:rsidRPr="001152C4" w:rsidRDefault="004454E2" w:rsidP="007218CE">
            <w:pPr>
              <w:spacing w:before="80" w:after="80"/>
              <w:jc w:val="left"/>
              <w:rPr>
                <w:sz w:val="22"/>
                <w:lang w:val="es-PY"/>
              </w:rPr>
            </w:pPr>
            <w:r w:rsidRPr="001152C4">
              <w:rPr>
                <w:sz w:val="22"/>
                <w:lang w:val="es-PY"/>
              </w:rPr>
              <w:t>2.4</w:t>
            </w:r>
          </w:p>
        </w:tc>
        <w:tc>
          <w:tcPr>
            <w:tcW w:w="4690" w:type="dxa"/>
            <w:vAlign w:val="center"/>
          </w:tcPr>
          <w:p w14:paraId="5E90ED15" w14:textId="238B0CDC" w:rsidR="004454E2" w:rsidRPr="001152C4" w:rsidRDefault="004454E2" w:rsidP="007218CE">
            <w:pPr>
              <w:spacing w:before="80" w:after="80"/>
              <w:jc w:val="left"/>
              <w:rPr>
                <w:sz w:val="22"/>
                <w:lang w:val="es-PY"/>
              </w:rPr>
            </w:pPr>
            <w:r w:rsidRPr="001152C4">
              <w:rPr>
                <w:sz w:val="22"/>
                <w:lang w:val="es-PY"/>
              </w:rPr>
              <w:t xml:space="preserve">Reduce la capacidad de innovar. </w:t>
            </w:r>
          </w:p>
        </w:tc>
        <w:tc>
          <w:tcPr>
            <w:tcW w:w="549" w:type="dxa"/>
            <w:vAlign w:val="center"/>
          </w:tcPr>
          <w:p w14:paraId="78E43490" w14:textId="77777777" w:rsidR="004454E2" w:rsidRPr="001152C4" w:rsidRDefault="004454E2" w:rsidP="007218CE">
            <w:pPr>
              <w:spacing w:before="80" w:after="80"/>
              <w:jc w:val="left"/>
              <w:rPr>
                <w:sz w:val="22"/>
                <w:lang w:val="es-PY"/>
              </w:rPr>
            </w:pPr>
          </w:p>
        </w:tc>
      </w:tr>
      <w:tr w:rsidR="007218CE" w:rsidRPr="001152C4" w14:paraId="525AE053" w14:textId="77777777" w:rsidTr="002A66DF">
        <w:tc>
          <w:tcPr>
            <w:tcW w:w="934" w:type="dxa"/>
            <w:vMerge/>
            <w:vAlign w:val="center"/>
          </w:tcPr>
          <w:p w14:paraId="5019D658" w14:textId="77777777" w:rsidR="007218CE" w:rsidRPr="001152C4" w:rsidRDefault="007218CE" w:rsidP="007218CE">
            <w:pPr>
              <w:spacing w:before="80" w:after="80"/>
              <w:jc w:val="left"/>
              <w:rPr>
                <w:b/>
                <w:bCs/>
                <w:sz w:val="22"/>
                <w:lang w:val="es-PY"/>
              </w:rPr>
            </w:pPr>
          </w:p>
        </w:tc>
        <w:tc>
          <w:tcPr>
            <w:tcW w:w="2322" w:type="dxa"/>
            <w:vMerge/>
            <w:vAlign w:val="center"/>
          </w:tcPr>
          <w:p w14:paraId="0A40C7BD" w14:textId="77777777" w:rsidR="007218CE" w:rsidRPr="001152C4" w:rsidRDefault="007218CE" w:rsidP="007218CE">
            <w:pPr>
              <w:spacing w:before="80" w:after="80"/>
              <w:jc w:val="left"/>
              <w:rPr>
                <w:sz w:val="22"/>
                <w:lang w:val="es-PY"/>
              </w:rPr>
            </w:pPr>
          </w:p>
        </w:tc>
        <w:tc>
          <w:tcPr>
            <w:tcW w:w="567" w:type="dxa"/>
          </w:tcPr>
          <w:p w14:paraId="723B41FF" w14:textId="4856CC1F" w:rsidR="007218CE" w:rsidRPr="001152C4" w:rsidRDefault="007218CE" w:rsidP="007218CE">
            <w:pPr>
              <w:spacing w:before="80" w:after="80"/>
              <w:jc w:val="left"/>
              <w:rPr>
                <w:sz w:val="22"/>
                <w:lang w:val="es-PY"/>
              </w:rPr>
            </w:pPr>
            <w:r w:rsidRPr="001152C4">
              <w:rPr>
                <w:sz w:val="22"/>
                <w:lang w:val="es-PY"/>
              </w:rPr>
              <w:t>2.</w:t>
            </w:r>
            <w:r w:rsidR="004454E2" w:rsidRPr="001152C4">
              <w:rPr>
                <w:sz w:val="22"/>
                <w:lang w:val="es-PY"/>
              </w:rPr>
              <w:t>5</w:t>
            </w:r>
          </w:p>
        </w:tc>
        <w:tc>
          <w:tcPr>
            <w:tcW w:w="4690" w:type="dxa"/>
            <w:vAlign w:val="center"/>
          </w:tcPr>
          <w:p w14:paraId="665FD782" w14:textId="52BE0E5C" w:rsidR="007218CE" w:rsidRPr="001152C4" w:rsidRDefault="007218CE" w:rsidP="007218CE">
            <w:pPr>
              <w:spacing w:before="80" w:after="80"/>
              <w:jc w:val="left"/>
              <w:rPr>
                <w:sz w:val="22"/>
                <w:lang w:val="es-PY"/>
              </w:rPr>
            </w:pPr>
            <w:r w:rsidRPr="001152C4">
              <w:rPr>
                <w:sz w:val="22"/>
                <w:lang w:val="es-PY"/>
              </w:rPr>
              <w:t>Limita la libertad de los proveedores de promocionar sus bienes o servicios.</w:t>
            </w:r>
          </w:p>
        </w:tc>
        <w:tc>
          <w:tcPr>
            <w:tcW w:w="549" w:type="dxa"/>
            <w:vAlign w:val="center"/>
          </w:tcPr>
          <w:p w14:paraId="05DB8A72" w14:textId="77777777" w:rsidR="007218CE" w:rsidRPr="001152C4" w:rsidRDefault="007218CE" w:rsidP="007218CE">
            <w:pPr>
              <w:spacing w:before="80" w:after="80"/>
              <w:jc w:val="left"/>
              <w:rPr>
                <w:sz w:val="22"/>
                <w:lang w:val="es-PY"/>
              </w:rPr>
            </w:pPr>
          </w:p>
        </w:tc>
      </w:tr>
      <w:tr w:rsidR="007218CE" w:rsidRPr="001152C4" w14:paraId="3A6E2BC9" w14:textId="77777777" w:rsidTr="002A66DF">
        <w:tc>
          <w:tcPr>
            <w:tcW w:w="934" w:type="dxa"/>
            <w:vMerge w:val="restart"/>
            <w:vAlign w:val="center"/>
          </w:tcPr>
          <w:p w14:paraId="0399228E" w14:textId="39657EFA" w:rsidR="007218CE" w:rsidRPr="001152C4" w:rsidRDefault="007218CE" w:rsidP="007218CE">
            <w:pPr>
              <w:spacing w:before="80" w:after="80"/>
              <w:jc w:val="left"/>
              <w:rPr>
                <w:b/>
                <w:bCs/>
                <w:sz w:val="22"/>
                <w:lang w:val="es-PY"/>
              </w:rPr>
            </w:pPr>
            <w:r w:rsidRPr="001152C4">
              <w:rPr>
                <w:b/>
                <w:bCs/>
                <w:sz w:val="22"/>
                <w:lang w:val="es-PY"/>
              </w:rPr>
              <w:t>3</w:t>
            </w:r>
          </w:p>
        </w:tc>
        <w:tc>
          <w:tcPr>
            <w:tcW w:w="2322" w:type="dxa"/>
            <w:vMerge w:val="restart"/>
            <w:vAlign w:val="center"/>
          </w:tcPr>
          <w:p w14:paraId="24CF439B" w14:textId="11062333" w:rsidR="007218CE" w:rsidRPr="001152C4" w:rsidRDefault="007218CE" w:rsidP="007218CE">
            <w:pPr>
              <w:spacing w:before="80" w:after="80"/>
              <w:jc w:val="left"/>
              <w:rPr>
                <w:sz w:val="22"/>
                <w:lang w:val="es-PY"/>
              </w:rPr>
            </w:pPr>
            <w:r w:rsidRPr="001152C4">
              <w:rPr>
                <w:sz w:val="22"/>
                <w:lang w:val="es-PY"/>
              </w:rPr>
              <w:t xml:space="preserve">Reduce los incentivos de los proveedores de competir. </w:t>
            </w:r>
          </w:p>
        </w:tc>
        <w:tc>
          <w:tcPr>
            <w:tcW w:w="567" w:type="dxa"/>
          </w:tcPr>
          <w:p w14:paraId="3E61569E" w14:textId="6CCDC123" w:rsidR="007218CE" w:rsidRPr="001152C4" w:rsidRDefault="007218CE" w:rsidP="007218CE">
            <w:pPr>
              <w:spacing w:before="80" w:after="80"/>
              <w:jc w:val="left"/>
              <w:rPr>
                <w:sz w:val="22"/>
                <w:lang w:val="es-PY"/>
              </w:rPr>
            </w:pPr>
            <w:r w:rsidRPr="001152C4">
              <w:rPr>
                <w:sz w:val="22"/>
                <w:lang w:val="es-PY"/>
              </w:rPr>
              <w:t>3.1</w:t>
            </w:r>
          </w:p>
        </w:tc>
        <w:tc>
          <w:tcPr>
            <w:tcW w:w="4690" w:type="dxa"/>
            <w:vAlign w:val="center"/>
          </w:tcPr>
          <w:p w14:paraId="3744C5EA" w14:textId="4083A499" w:rsidR="007218CE" w:rsidRPr="001152C4" w:rsidRDefault="0070758D" w:rsidP="007218CE">
            <w:pPr>
              <w:spacing w:before="80" w:after="80"/>
              <w:jc w:val="left"/>
              <w:rPr>
                <w:sz w:val="22"/>
                <w:lang w:val="es-PY"/>
              </w:rPr>
            </w:pPr>
            <w:r w:rsidRPr="001152C4">
              <w:rPr>
                <w:sz w:val="22"/>
                <w:lang w:val="es-PY"/>
              </w:rPr>
              <w:t>Exime la actividad de los proveedores de un grupo o industria de operar bajo la Ley de Defensa de la Competencia</w:t>
            </w:r>
            <w:r w:rsidR="007218CE" w:rsidRPr="001152C4">
              <w:rPr>
                <w:sz w:val="22"/>
                <w:lang w:val="es-PY"/>
              </w:rPr>
              <w:t xml:space="preserve">. </w:t>
            </w:r>
          </w:p>
        </w:tc>
        <w:tc>
          <w:tcPr>
            <w:tcW w:w="549" w:type="dxa"/>
            <w:vAlign w:val="center"/>
          </w:tcPr>
          <w:p w14:paraId="646965AB" w14:textId="77777777" w:rsidR="007218CE" w:rsidRPr="001152C4" w:rsidRDefault="007218CE" w:rsidP="007218CE">
            <w:pPr>
              <w:spacing w:before="80" w:after="80"/>
              <w:jc w:val="left"/>
              <w:rPr>
                <w:sz w:val="22"/>
                <w:lang w:val="es-PY"/>
              </w:rPr>
            </w:pPr>
          </w:p>
        </w:tc>
      </w:tr>
      <w:tr w:rsidR="007218CE" w:rsidRPr="001152C4" w14:paraId="1C792966" w14:textId="77777777" w:rsidTr="002A66DF">
        <w:tc>
          <w:tcPr>
            <w:tcW w:w="934" w:type="dxa"/>
            <w:vMerge/>
            <w:vAlign w:val="center"/>
          </w:tcPr>
          <w:p w14:paraId="072F5BF9" w14:textId="77777777" w:rsidR="007218CE" w:rsidRPr="001152C4" w:rsidRDefault="007218CE" w:rsidP="007218CE">
            <w:pPr>
              <w:spacing w:before="80" w:after="80"/>
              <w:jc w:val="left"/>
              <w:rPr>
                <w:b/>
                <w:bCs/>
                <w:sz w:val="22"/>
                <w:lang w:val="es-PY"/>
              </w:rPr>
            </w:pPr>
          </w:p>
        </w:tc>
        <w:tc>
          <w:tcPr>
            <w:tcW w:w="2322" w:type="dxa"/>
            <w:vMerge/>
            <w:vAlign w:val="center"/>
          </w:tcPr>
          <w:p w14:paraId="3EE80BBD" w14:textId="77777777" w:rsidR="007218CE" w:rsidRPr="001152C4" w:rsidRDefault="007218CE" w:rsidP="007218CE">
            <w:pPr>
              <w:spacing w:before="80" w:after="80"/>
              <w:jc w:val="left"/>
              <w:rPr>
                <w:sz w:val="22"/>
                <w:lang w:val="es-PY"/>
              </w:rPr>
            </w:pPr>
          </w:p>
        </w:tc>
        <w:tc>
          <w:tcPr>
            <w:tcW w:w="567" w:type="dxa"/>
          </w:tcPr>
          <w:p w14:paraId="671738E9" w14:textId="37606BB1" w:rsidR="007218CE" w:rsidRPr="001152C4" w:rsidRDefault="007218CE" w:rsidP="007218CE">
            <w:pPr>
              <w:spacing w:before="80" w:after="80"/>
              <w:jc w:val="left"/>
              <w:rPr>
                <w:sz w:val="22"/>
                <w:lang w:val="es-PY"/>
              </w:rPr>
            </w:pPr>
            <w:r w:rsidRPr="001152C4">
              <w:rPr>
                <w:sz w:val="22"/>
                <w:lang w:val="es-PY"/>
              </w:rPr>
              <w:t>3.2</w:t>
            </w:r>
          </w:p>
        </w:tc>
        <w:tc>
          <w:tcPr>
            <w:tcW w:w="4690" w:type="dxa"/>
            <w:vAlign w:val="center"/>
          </w:tcPr>
          <w:p w14:paraId="00EF2807" w14:textId="4ADBA115" w:rsidR="007218CE" w:rsidRPr="001152C4" w:rsidRDefault="007218CE" w:rsidP="007218CE">
            <w:pPr>
              <w:spacing w:before="80" w:after="80"/>
              <w:jc w:val="left"/>
              <w:rPr>
                <w:sz w:val="22"/>
                <w:lang w:val="es-PY"/>
              </w:rPr>
            </w:pPr>
            <w:r w:rsidRPr="001152C4">
              <w:rPr>
                <w:sz w:val="22"/>
                <w:lang w:val="es-PY"/>
              </w:rPr>
              <w:t xml:space="preserve">Exige o fomenta la publicación de información </w:t>
            </w:r>
            <w:r w:rsidR="00530748" w:rsidRPr="001152C4">
              <w:rPr>
                <w:sz w:val="22"/>
                <w:lang w:val="es-PY"/>
              </w:rPr>
              <w:t>sensible</w:t>
            </w:r>
            <w:r w:rsidRPr="001152C4">
              <w:rPr>
                <w:sz w:val="22"/>
                <w:lang w:val="es-PY"/>
              </w:rPr>
              <w:t xml:space="preserve"> de los proveedores. </w:t>
            </w:r>
          </w:p>
        </w:tc>
        <w:tc>
          <w:tcPr>
            <w:tcW w:w="549" w:type="dxa"/>
            <w:vAlign w:val="center"/>
          </w:tcPr>
          <w:p w14:paraId="71DF3ECD" w14:textId="77777777" w:rsidR="007218CE" w:rsidRPr="001152C4" w:rsidRDefault="007218CE" w:rsidP="007218CE">
            <w:pPr>
              <w:spacing w:before="80" w:after="80"/>
              <w:jc w:val="left"/>
              <w:rPr>
                <w:sz w:val="22"/>
                <w:lang w:val="es-PY"/>
              </w:rPr>
            </w:pPr>
          </w:p>
        </w:tc>
      </w:tr>
      <w:tr w:rsidR="007167D8" w:rsidRPr="001152C4" w14:paraId="2D9CFFAB" w14:textId="77777777" w:rsidTr="002A66DF">
        <w:tc>
          <w:tcPr>
            <w:tcW w:w="934" w:type="dxa"/>
            <w:vMerge/>
            <w:vAlign w:val="center"/>
          </w:tcPr>
          <w:p w14:paraId="01880E4A" w14:textId="77777777" w:rsidR="007167D8" w:rsidRPr="001152C4" w:rsidRDefault="007167D8" w:rsidP="007218CE">
            <w:pPr>
              <w:spacing w:before="80" w:after="80"/>
              <w:jc w:val="left"/>
              <w:rPr>
                <w:b/>
                <w:bCs/>
                <w:sz w:val="22"/>
                <w:lang w:val="es-PY"/>
              </w:rPr>
            </w:pPr>
          </w:p>
        </w:tc>
        <w:tc>
          <w:tcPr>
            <w:tcW w:w="2322" w:type="dxa"/>
            <w:vMerge/>
            <w:vAlign w:val="center"/>
          </w:tcPr>
          <w:p w14:paraId="5B98DA96" w14:textId="77777777" w:rsidR="007167D8" w:rsidRPr="001152C4" w:rsidRDefault="007167D8" w:rsidP="007218CE">
            <w:pPr>
              <w:spacing w:before="80" w:after="80"/>
              <w:jc w:val="left"/>
              <w:rPr>
                <w:sz w:val="22"/>
                <w:lang w:val="es-PY"/>
              </w:rPr>
            </w:pPr>
          </w:p>
        </w:tc>
        <w:tc>
          <w:tcPr>
            <w:tcW w:w="567" w:type="dxa"/>
          </w:tcPr>
          <w:p w14:paraId="1206A50E" w14:textId="26F0D515" w:rsidR="007167D8" w:rsidRPr="001152C4" w:rsidRDefault="007167D8" w:rsidP="007218CE">
            <w:pPr>
              <w:spacing w:before="80" w:after="80"/>
              <w:jc w:val="left"/>
              <w:rPr>
                <w:sz w:val="22"/>
                <w:lang w:val="es-PY"/>
              </w:rPr>
            </w:pPr>
            <w:r w:rsidRPr="001152C4">
              <w:rPr>
                <w:sz w:val="22"/>
                <w:lang w:val="es-PY"/>
              </w:rPr>
              <w:t>3.3</w:t>
            </w:r>
          </w:p>
        </w:tc>
        <w:tc>
          <w:tcPr>
            <w:tcW w:w="4690" w:type="dxa"/>
            <w:vAlign w:val="center"/>
          </w:tcPr>
          <w:p w14:paraId="23F6D2FE" w14:textId="21BB0AA2" w:rsidR="007167D8" w:rsidRPr="001152C4" w:rsidRDefault="007167D8" w:rsidP="007218CE">
            <w:pPr>
              <w:spacing w:before="80" w:after="80"/>
              <w:jc w:val="left"/>
              <w:rPr>
                <w:sz w:val="22"/>
                <w:lang w:val="es-PY"/>
              </w:rPr>
            </w:pPr>
            <w:r w:rsidRPr="001152C4">
              <w:rPr>
                <w:sz w:val="22"/>
                <w:lang w:val="es-PY"/>
              </w:rPr>
              <w:t xml:space="preserve">Fomenta el contacto o la comunicación entre competidores. </w:t>
            </w:r>
          </w:p>
        </w:tc>
        <w:tc>
          <w:tcPr>
            <w:tcW w:w="549" w:type="dxa"/>
            <w:vAlign w:val="center"/>
          </w:tcPr>
          <w:p w14:paraId="4F0929FF" w14:textId="77777777" w:rsidR="007167D8" w:rsidRPr="001152C4" w:rsidRDefault="007167D8" w:rsidP="007218CE">
            <w:pPr>
              <w:spacing w:before="80" w:after="80"/>
              <w:jc w:val="left"/>
              <w:rPr>
                <w:sz w:val="22"/>
                <w:lang w:val="es-PY"/>
              </w:rPr>
            </w:pPr>
          </w:p>
        </w:tc>
      </w:tr>
      <w:tr w:rsidR="007218CE" w:rsidRPr="001152C4" w14:paraId="44BBC640" w14:textId="77777777" w:rsidTr="002A66DF">
        <w:tc>
          <w:tcPr>
            <w:tcW w:w="934" w:type="dxa"/>
            <w:vMerge/>
            <w:vAlign w:val="center"/>
          </w:tcPr>
          <w:p w14:paraId="2D62CD84" w14:textId="77777777" w:rsidR="007218CE" w:rsidRPr="001152C4" w:rsidRDefault="007218CE" w:rsidP="007218CE">
            <w:pPr>
              <w:spacing w:before="80" w:after="80"/>
              <w:jc w:val="left"/>
              <w:rPr>
                <w:b/>
                <w:bCs/>
                <w:sz w:val="22"/>
                <w:lang w:val="es-PY"/>
              </w:rPr>
            </w:pPr>
          </w:p>
        </w:tc>
        <w:tc>
          <w:tcPr>
            <w:tcW w:w="2322" w:type="dxa"/>
            <w:vMerge/>
            <w:vAlign w:val="center"/>
          </w:tcPr>
          <w:p w14:paraId="42730A4F" w14:textId="77777777" w:rsidR="007218CE" w:rsidRPr="001152C4" w:rsidRDefault="007218CE" w:rsidP="007218CE">
            <w:pPr>
              <w:spacing w:before="80" w:after="80"/>
              <w:jc w:val="left"/>
              <w:rPr>
                <w:sz w:val="22"/>
                <w:lang w:val="es-PY"/>
              </w:rPr>
            </w:pPr>
          </w:p>
        </w:tc>
        <w:tc>
          <w:tcPr>
            <w:tcW w:w="567" w:type="dxa"/>
          </w:tcPr>
          <w:p w14:paraId="525F4BDE" w14:textId="3309C5DC" w:rsidR="007218CE" w:rsidRPr="001152C4" w:rsidRDefault="007218CE" w:rsidP="007218CE">
            <w:pPr>
              <w:spacing w:before="80" w:after="80"/>
              <w:jc w:val="left"/>
              <w:rPr>
                <w:sz w:val="22"/>
                <w:lang w:val="es-PY"/>
              </w:rPr>
            </w:pPr>
            <w:r w:rsidRPr="001152C4">
              <w:rPr>
                <w:sz w:val="22"/>
                <w:lang w:val="es-PY"/>
              </w:rPr>
              <w:t>3.</w:t>
            </w:r>
            <w:r w:rsidR="007167D8" w:rsidRPr="001152C4">
              <w:rPr>
                <w:sz w:val="22"/>
                <w:lang w:val="es-PY"/>
              </w:rPr>
              <w:t>4</w:t>
            </w:r>
          </w:p>
        </w:tc>
        <w:tc>
          <w:tcPr>
            <w:tcW w:w="4690" w:type="dxa"/>
            <w:vAlign w:val="center"/>
          </w:tcPr>
          <w:p w14:paraId="2CEE7551" w14:textId="572B3D19" w:rsidR="007218CE" w:rsidRPr="001152C4" w:rsidRDefault="0070758D" w:rsidP="007218CE">
            <w:pPr>
              <w:spacing w:before="80" w:after="80"/>
              <w:jc w:val="left"/>
              <w:rPr>
                <w:sz w:val="22"/>
                <w:lang w:val="es-PY"/>
              </w:rPr>
            </w:pPr>
            <w:r w:rsidRPr="001152C4">
              <w:rPr>
                <w:sz w:val="22"/>
                <w:lang w:val="es-PY"/>
              </w:rPr>
              <w:t xml:space="preserve">Genera un régimen de autorregulación o </w:t>
            </w:r>
            <w:proofErr w:type="spellStart"/>
            <w:r w:rsidRPr="001152C4">
              <w:rPr>
                <w:sz w:val="22"/>
                <w:lang w:val="es-PY"/>
              </w:rPr>
              <w:lastRenderedPageBreak/>
              <w:t>corregulación</w:t>
            </w:r>
            <w:proofErr w:type="spellEnd"/>
            <w:r w:rsidRPr="001152C4">
              <w:rPr>
                <w:sz w:val="22"/>
                <w:lang w:val="es-PY"/>
              </w:rPr>
              <w:t xml:space="preserve">. </w:t>
            </w:r>
          </w:p>
        </w:tc>
        <w:tc>
          <w:tcPr>
            <w:tcW w:w="549" w:type="dxa"/>
            <w:vAlign w:val="center"/>
          </w:tcPr>
          <w:p w14:paraId="53176CF5" w14:textId="77777777" w:rsidR="007218CE" w:rsidRPr="001152C4" w:rsidRDefault="007218CE" w:rsidP="007218CE">
            <w:pPr>
              <w:spacing w:before="80" w:after="80"/>
              <w:jc w:val="left"/>
              <w:rPr>
                <w:sz w:val="22"/>
                <w:lang w:val="es-PY"/>
              </w:rPr>
            </w:pPr>
          </w:p>
        </w:tc>
      </w:tr>
      <w:tr w:rsidR="00DF2379" w:rsidRPr="001152C4" w14:paraId="4C68E899" w14:textId="77777777" w:rsidTr="002A66DF">
        <w:tc>
          <w:tcPr>
            <w:tcW w:w="934" w:type="dxa"/>
            <w:vMerge w:val="restart"/>
            <w:vAlign w:val="center"/>
          </w:tcPr>
          <w:p w14:paraId="38FBCBF3" w14:textId="51C142C9" w:rsidR="00DF2379" w:rsidRPr="001152C4" w:rsidRDefault="00DF2379" w:rsidP="00DF2379">
            <w:pPr>
              <w:spacing w:before="80" w:after="80"/>
              <w:jc w:val="left"/>
              <w:rPr>
                <w:b/>
                <w:bCs/>
                <w:sz w:val="22"/>
                <w:lang w:val="es-PY"/>
              </w:rPr>
            </w:pPr>
            <w:r w:rsidRPr="001152C4">
              <w:rPr>
                <w:b/>
                <w:bCs/>
                <w:sz w:val="22"/>
                <w:lang w:val="es-PY"/>
              </w:rPr>
              <w:t>4</w:t>
            </w:r>
          </w:p>
        </w:tc>
        <w:tc>
          <w:tcPr>
            <w:tcW w:w="2322" w:type="dxa"/>
            <w:vMerge w:val="restart"/>
            <w:vAlign w:val="center"/>
          </w:tcPr>
          <w:p w14:paraId="2ECC0943" w14:textId="4E4F964B" w:rsidR="00DF2379" w:rsidRPr="001152C4" w:rsidRDefault="00DF2379" w:rsidP="00DF2379">
            <w:pPr>
              <w:spacing w:before="80" w:after="80"/>
              <w:jc w:val="left"/>
              <w:rPr>
                <w:sz w:val="22"/>
                <w:lang w:val="es-PY"/>
              </w:rPr>
            </w:pPr>
            <w:r w:rsidRPr="001152C4">
              <w:rPr>
                <w:sz w:val="22"/>
                <w:lang w:val="es-PY"/>
              </w:rPr>
              <w:t xml:space="preserve">Limita las alternativas e información disponibles para consumidores. </w:t>
            </w:r>
          </w:p>
        </w:tc>
        <w:tc>
          <w:tcPr>
            <w:tcW w:w="567" w:type="dxa"/>
          </w:tcPr>
          <w:p w14:paraId="648C1CF7" w14:textId="52007628" w:rsidR="00DF2379" w:rsidRPr="001152C4" w:rsidRDefault="00DF2379" w:rsidP="00DF2379">
            <w:pPr>
              <w:spacing w:before="80" w:after="80"/>
              <w:jc w:val="left"/>
              <w:rPr>
                <w:sz w:val="22"/>
                <w:lang w:val="es-PY"/>
              </w:rPr>
            </w:pPr>
            <w:r w:rsidRPr="001152C4">
              <w:rPr>
                <w:sz w:val="22"/>
                <w:lang w:val="es-PY"/>
              </w:rPr>
              <w:t>4.1</w:t>
            </w:r>
          </w:p>
        </w:tc>
        <w:tc>
          <w:tcPr>
            <w:tcW w:w="4690" w:type="dxa"/>
            <w:vAlign w:val="center"/>
          </w:tcPr>
          <w:p w14:paraId="6E401076" w14:textId="5D57BACF" w:rsidR="00DF2379" w:rsidRPr="001152C4" w:rsidRDefault="00DF2379" w:rsidP="00DF2379">
            <w:pPr>
              <w:spacing w:before="80" w:after="80"/>
              <w:jc w:val="left"/>
              <w:rPr>
                <w:sz w:val="22"/>
                <w:lang w:val="es-PY"/>
              </w:rPr>
            </w:pPr>
            <w:r w:rsidRPr="001152C4">
              <w:rPr>
                <w:sz w:val="22"/>
                <w:lang w:val="es-PY"/>
              </w:rPr>
              <w:t xml:space="preserve">Reduce la movilidad de los clientes entre proveedores de bienes o prestadores de servicios mediante el incremento de los costos de cambio de proveedor. </w:t>
            </w:r>
          </w:p>
        </w:tc>
        <w:tc>
          <w:tcPr>
            <w:tcW w:w="549" w:type="dxa"/>
            <w:vAlign w:val="center"/>
          </w:tcPr>
          <w:p w14:paraId="2AC46BD1" w14:textId="77777777" w:rsidR="00DF2379" w:rsidRPr="001152C4" w:rsidRDefault="00DF2379" w:rsidP="00DF2379">
            <w:pPr>
              <w:spacing w:before="80" w:after="80"/>
              <w:jc w:val="left"/>
              <w:rPr>
                <w:sz w:val="22"/>
                <w:lang w:val="es-PY"/>
              </w:rPr>
            </w:pPr>
          </w:p>
        </w:tc>
      </w:tr>
      <w:tr w:rsidR="007218CE" w:rsidRPr="001152C4" w14:paraId="438A5411" w14:textId="77777777" w:rsidTr="002A66DF">
        <w:tc>
          <w:tcPr>
            <w:tcW w:w="934" w:type="dxa"/>
            <w:vMerge/>
            <w:vAlign w:val="center"/>
          </w:tcPr>
          <w:p w14:paraId="3FD3CFF8" w14:textId="77777777" w:rsidR="007218CE" w:rsidRPr="001152C4" w:rsidRDefault="007218CE" w:rsidP="007218CE">
            <w:pPr>
              <w:spacing w:before="80" w:after="80"/>
              <w:jc w:val="left"/>
              <w:rPr>
                <w:sz w:val="22"/>
                <w:lang w:val="es-PY"/>
              </w:rPr>
            </w:pPr>
          </w:p>
        </w:tc>
        <w:tc>
          <w:tcPr>
            <w:tcW w:w="2322" w:type="dxa"/>
            <w:vMerge/>
            <w:vAlign w:val="center"/>
          </w:tcPr>
          <w:p w14:paraId="3BDE2759" w14:textId="77777777" w:rsidR="007218CE" w:rsidRPr="001152C4" w:rsidRDefault="007218CE" w:rsidP="007218CE">
            <w:pPr>
              <w:spacing w:before="80" w:after="80"/>
              <w:jc w:val="left"/>
              <w:rPr>
                <w:sz w:val="22"/>
                <w:lang w:val="es-PY"/>
              </w:rPr>
            </w:pPr>
          </w:p>
        </w:tc>
        <w:tc>
          <w:tcPr>
            <w:tcW w:w="567" w:type="dxa"/>
          </w:tcPr>
          <w:p w14:paraId="54985B65" w14:textId="01C2FD93" w:rsidR="007218CE" w:rsidRPr="001152C4" w:rsidRDefault="007218CE" w:rsidP="007218CE">
            <w:pPr>
              <w:spacing w:before="80" w:after="80"/>
              <w:jc w:val="left"/>
              <w:rPr>
                <w:sz w:val="22"/>
                <w:lang w:val="es-PY"/>
              </w:rPr>
            </w:pPr>
            <w:r w:rsidRPr="001152C4">
              <w:rPr>
                <w:sz w:val="22"/>
                <w:lang w:val="es-PY"/>
              </w:rPr>
              <w:t>4.</w:t>
            </w:r>
            <w:r w:rsidR="00DF2379" w:rsidRPr="001152C4">
              <w:rPr>
                <w:sz w:val="22"/>
                <w:lang w:val="es-PY"/>
              </w:rPr>
              <w:t>2</w:t>
            </w:r>
          </w:p>
        </w:tc>
        <w:tc>
          <w:tcPr>
            <w:tcW w:w="4690" w:type="dxa"/>
            <w:vAlign w:val="center"/>
          </w:tcPr>
          <w:p w14:paraId="73F71844" w14:textId="61DAA451" w:rsidR="007218CE" w:rsidRPr="001152C4" w:rsidRDefault="00C94557" w:rsidP="007218CE">
            <w:pPr>
              <w:spacing w:before="80" w:after="80"/>
              <w:jc w:val="left"/>
              <w:rPr>
                <w:sz w:val="22"/>
                <w:lang w:val="es-PY"/>
              </w:rPr>
            </w:pPr>
            <w:r w:rsidRPr="001152C4">
              <w:rPr>
                <w:sz w:val="22"/>
                <w:lang w:val="es-PY"/>
              </w:rPr>
              <w:t xml:space="preserve">Dispone requisitos insuficientes de información para la toma de decisiones. </w:t>
            </w:r>
          </w:p>
        </w:tc>
        <w:tc>
          <w:tcPr>
            <w:tcW w:w="549" w:type="dxa"/>
            <w:vAlign w:val="center"/>
          </w:tcPr>
          <w:p w14:paraId="696ADC17" w14:textId="77777777" w:rsidR="007218CE" w:rsidRPr="001152C4" w:rsidRDefault="007218CE" w:rsidP="007218CE">
            <w:pPr>
              <w:spacing w:before="80" w:after="80"/>
              <w:jc w:val="left"/>
              <w:rPr>
                <w:sz w:val="22"/>
                <w:lang w:val="es-PY"/>
              </w:rPr>
            </w:pPr>
          </w:p>
        </w:tc>
      </w:tr>
    </w:tbl>
    <w:p w14:paraId="14D219C8" w14:textId="1A93D507" w:rsidR="0076363F" w:rsidRDefault="00BA67E2" w:rsidP="0046765F">
      <w:pPr>
        <w:rPr>
          <w:sz w:val="22"/>
          <w:lang w:val="es-ES_tradnl"/>
        </w:rPr>
      </w:pPr>
      <w:r>
        <w:rPr>
          <w:sz w:val="22"/>
          <w:lang w:val="es-ES_tradnl"/>
        </w:rPr>
        <w:t xml:space="preserve">Las municipalidades </w:t>
      </w:r>
      <w:r w:rsidR="0076363F">
        <w:rPr>
          <w:sz w:val="22"/>
          <w:lang w:val="es-ES_tradnl"/>
        </w:rPr>
        <w:t>pueden usar esta lista de verificación para analizar si sus normas propuestas o vigentes</w:t>
      </w:r>
      <w:r w:rsidR="0081534F">
        <w:rPr>
          <w:sz w:val="22"/>
          <w:lang w:val="es-ES_tradnl"/>
        </w:rPr>
        <w:t xml:space="preserve">, o normas nacionales que deben aplicar en sus municipios, </w:t>
      </w:r>
      <w:r w:rsidR="0076363F">
        <w:rPr>
          <w:sz w:val="22"/>
          <w:lang w:val="es-ES_tradnl"/>
        </w:rPr>
        <w:t xml:space="preserve">constituirán o constituyen una barrera a la competencia en </w:t>
      </w:r>
      <w:r w:rsidR="0081534F">
        <w:rPr>
          <w:sz w:val="22"/>
          <w:lang w:val="es-ES_tradnl"/>
        </w:rPr>
        <w:t>sus fronteras</w:t>
      </w:r>
      <w:r w:rsidR="0076363F">
        <w:rPr>
          <w:sz w:val="22"/>
          <w:lang w:val="es-ES_tradnl"/>
        </w:rPr>
        <w:t xml:space="preserve">. </w:t>
      </w:r>
    </w:p>
    <w:p w14:paraId="44CB0C3D" w14:textId="7EB4B51F" w:rsidR="006830FD" w:rsidRPr="001152C4" w:rsidRDefault="006830FD" w:rsidP="00BD08A1">
      <w:pPr>
        <w:pStyle w:val="Ttulo2"/>
      </w:pPr>
      <w:bookmarkStart w:id="22" w:name="_Toc160698839"/>
      <w:r w:rsidRPr="001152C4">
        <w:t>Normas que limitan la cantidad de proveedores</w:t>
      </w:r>
      <w:bookmarkEnd w:id="22"/>
    </w:p>
    <w:p w14:paraId="0D507363" w14:textId="5485393A" w:rsidR="006830FD" w:rsidRPr="001152C4" w:rsidRDefault="002A0E4B" w:rsidP="006830FD">
      <w:pPr>
        <w:rPr>
          <w:sz w:val="22"/>
          <w:lang w:val="es-ES_tradnl"/>
        </w:rPr>
      </w:pPr>
      <w:r w:rsidRPr="001152C4">
        <w:rPr>
          <w:sz w:val="22"/>
          <w:lang w:val="es-ES_tradnl"/>
        </w:rPr>
        <w:t xml:space="preserve">En primer lugar, se recomienda verificar si la norma bajo análisis limita la cantidad o variedad de </w:t>
      </w:r>
      <w:r w:rsidR="00A76D8E" w:rsidRPr="001152C4">
        <w:rPr>
          <w:sz w:val="22"/>
          <w:lang w:val="es-ES_tradnl"/>
        </w:rPr>
        <w:t>proveedores de ciertos bienes o servicios. En este caso, las normas bajo análisis afecta</w:t>
      </w:r>
      <w:r w:rsidR="007A074A" w:rsidRPr="001152C4">
        <w:rPr>
          <w:sz w:val="22"/>
          <w:lang w:val="es-ES_tradnl"/>
        </w:rPr>
        <w:t>n</w:t>
      </w:r>
      <w:r w:rsidR="00A76D8E" w:rsidRPr="001152C4">
        <w:rPr>
          <w:sz w:val="22"/>
          <w:lang w:val="es-ES_tradnl"/>
        </w:rPr>
        <w:t xml:space="preserve"> directamente la cantidad de </w:t>
      </w:r>
      <w:r w:rsidR="007A074A" w:rsidRPr="001152C4">
        <w:rPr>
          <w:sz w:val="22"/>
          <w:lang w:val="es-ES_tradnl"/>
        </w:rPr>
        <w:t xml:space="preserve">opciones de los consumidores y fomentan la concentración de poder de mercado en unas pocas empresas. </w:t>
      </w:r>
    </w:p>
    <w:p w14:paraId="15F138F2" w14:textId="0EECA501" w:rsidR="007A074A" w:rsidRPr="001152C4" w:rsidRDefault="007A074A" w:rsidP="00BD08A1">
      <w:pPr>
        <w:pStyle w:val="Ttulo3"/>
      </w:pPr>
      <w:bookmarkStart w:id="23" w:name="_Toc160698840"/>
      <w:r w:rsidRPr="001152C4">
        <w:t>Derechos exclusivos</w:t>
      </w:r>
      <w:bookmarkEnd w:id="23"/>
    </w:p>
    <w:p w14:paraId="636144C6" w14:textId="5C9146C3" w:rsidR="000B1630" w:rsidRPr="001152C4" w:rsidRDefault="00856D78" w:rsidP="000B1630">
      <w:pPr>
        <w:rPr>
          <w:sz w:val="22"/>
          <w:lang w:val="es-ES_tradnl"/>
        </w:rPr>
      </w:pPr>
      <w:r>
        <w:rPr>
          <w:sz w:val="22"/>
          <w:lang w:val="es-ES_tradnl"/>
        </w:rPr>
        <w:t>Como señala la OCDE, [</w:t>
      </w:r>
      <w:r w:rsidRPr="00856D78">
        <w:rPr>
          <w:i/>
          <w:iCs/>
          <w:sz w:val="22"/>
          <w:lang w:val="es-ES_tradnl"/>
        </w:rPr>
        <w:t>e</w:t>
      </w:r>
      <w:r>
        <w:rPr>
          <w:sz w:val="22"/>
          <w:lang w:val="es-ES_tradnl"/>
        </w:rPr>
        <w:t>]</w:t>
      </w:r>
      <w:r w:rsidRPr="00856D78">
        <w:rPr>
          <w:i/>
          <w:iCs/>
          <w:sz w:val="22"/>
          <w:lang w:val="es-ES_tradnl"/>
        </w:rPr>
        <w:t>l otorgamiento de un derecho exclusivo para la producción de cierto bien o la prestación de algún servicio, es el signo del establecimiento de un monopolio privado regulado</w:t>
      </w:r>
      <w:r w:rsidR="007A074A" w:rsidRPr="001152C4">
        <w:rPr>
          <w:rStyle w:val="Refdenotaalpie"/>
          <w:sz w:val="22"/>
          <w:lang w:val="es-ES_tradnl"/>
        </w:rPr>
        <w:footnoteReference w:id="38"/>
      </w:r>
      <w:r w:rsidR="007A074A" w:rsidRPr="001152C4">
        <w:rPr>
          <w:sz w:val="22"/>
          <w:lang w:val="es-ES_tradnl"/>
        </w:rPr>
        <w:t xml:space="preserve">. </w:t>
      </w:r>
      <w:r>
        <w:rPr>
          <w:sz w:val="22"/>
          <w:lang w:val="es-ES_tradnl"/>
        </w:rPr>
        <w:t>Bajo este sistema normativo, s</w:t>
      </w:r>
      <w:r w:rsidR="007B3632" w:rsidRPr="001152C4">
        <w:rPr>
          <w:sz w:val="22"/>
          <w:lang w:val="es-ES_tradnl"/>
        </w:rPr>
        <w:t>olo una persona física o jurídica puede prestar un servicio u ofrecer un bien en el mercado</w:t>
      </w:r>
      <w:r w:rsidR="000B1630" w:rsidRPr="001152C4">
        <w:rPr>
          <w:sz w:val="22"/>
          <w:lang w:val="es-ES_tradnl"/>
        </w:rPr>
        <w:t>, generando el riesgo de precios elevados</w:t>
      </w:r>
      <w:r w:rsidR="000D724C">
        <w:rPr>
          <w:rStyle w:val="Refdenotaalpie"/>
          <w:sz w:val="22"/>
          <w:lang w:val="es-ES_tradnl"/>
        </w:rPr>
        <w:footnoteReference w:id="39"/>
      </w:r>
      <w:r w:rsidR="000B1630" w:rsidRPr="001152C4">
        <w:rPr>
          <w:sz w:val="22"/>
          <w:lang w:val="es-ES_tradnl"/>
        </w:rPr>
        <w:t xml:space="preserve"> y otros problemas derivados del poder de mercado</w:t>
      </w:r>
      <w:r w:rsidR="000B1630" w:rsidRPr="001152C4">
        <w:rPr>
          <w:rStyle w:val="Refdenotaalpie"/>
          <w:sz w:val="22"/>
          <w:lang w:val="es-ES_tradnl"/>
        </w:rPr>
        <w:footnoteReference w:id="40"/>
      </w:r>
      <w:r w:rsidR="000B1630" w:rsidRPr="001152C4">
        <w:rPr>
          <w:sz w:val="22"/>
          <w:lang w:val="es-ES_tradnl"/>
        </w:rPr>
        <w:t xml:space="preserve">. </w:t>
      </w:r>
    </w:p>
    <w:p w14:paraId="17127097" w14:textId="77777777" w:rsidR="000D724C" w:rsidRDefault="00516654" w:rsidP="00516654">
      <w:pPr>
        <w:rPr>
          <w:sz w:val="22"/>
          <w:lang w:val="es-ES_tradnl"/>
        </w:rPr>
      </w:pPr>
      <w:r w:rsidRPr="001152C4">
        <w:rPr>
          <w:sz w:val="22"/>
          <w:lang w:val="es-ES_tradnl"/>
        </w:rPr>
        <w:t xml:space="preserve">En ocasiones, este modelo de mercado </w:t>
      </w:r>
      <w:r w:rsidR="000B1630" w:rsidRPr="001152C4">
        <w:rPr>
          <w:sz w:val="22"/>
          <w:lang w:val="es-ES_tradnl"/>
        </w:rPr>
        <w:t>es</w:t>
      </w:r>
      <w:r w:rsidRPr="001152C4">
        <w:rPr>
          <w:sz w:val="22"/>
          <w:lang w:val="es-ES_tradnl"/>
        </w:rPr>
        <w:t xml:space="preserve"> empleado, por ejemplo, </w:t>
      </w:r>
      <w:r w:rsidRPr="001152C4">
        <w:rPr>
          <w:i/>
          <w:iCs/>
          <w:sz w:val="22"/>
          <w:lang w:val="es-ES_tradnl"/>
        </w:rPr>
        <w:t>para fomentar o apoyar la inversión sustancial o estratégica en infraestructura, particularmente en mercados o industrias que se caracterizan por altos costos hundidos y economías de escala</w:t>
      </w:r>
      <w:r w:rsidRPr="001152C4">
        <w:rPr>
          <w:rStyle w:val="Refdenotaalpie"/>
          <w:sz w:val="22"/>
          <w:lang w:val="es-ES_tradnl"/>
        </w:rPr>
        <w:footnoteReference w:id="41"/>
      </w:r>
      <w:r w:rsidRPr="001152C4">
        <w:rPr>
          <w:sz w:val="22"/>
          <w:lang w:val="es-ES_tradnl"/>
        </w:rPr>
        <w:t xml:space="preserve">. También </w:t>
      </w:r>
      <w:r w:rsidR="00F60F74" w:rsidRPr="001152C4">
        <w:rPr>
          <w:sz w:val="22"/>
          <w:lang w:val="es-ES_tradnl"/>
        </w:rPr>
        <w:t xml:space="preserve">es normal ver que se otorguen </w:t>
      </w:r>
      <w:r w:rsidRPr="001152C4">
        <w:rPr>
          <w:sz w:val="22"/>
          <w:lang w:val="es-ES_tradnl"/>
        </w:rPr>
        <w:t xml:space="preserve">derechos exclusivos en casos de </w:t>
      </w:r>
      <w:r w:rsidRPr="001152C4">
        <w:rPr>
          <w:i/>
          <w:iCs/>
          <w:sz w:val="22"/>
          <w:lang w:val="es-ES_tradnl"/>
        </w:rPr>
        <w:t xml:space="preserve">la explotación de algún recurso, la producción </w:t>
      </w:r>
      <w:r w:rsidRPr="001152C4">
        <w:rPr>
          <w:i/>
          <w:iCs/>
          <w:sz w:val="22"/>
          <w:lang w:val="es-ES_tradnl"/>
        </w:rPr>
        <w:lastRenderedPageBreak/>
        <w:t>de cierto bien o la prestación de algún servicio</w:t>
      </w:r>
      <w:r w:rsidRPr="001152C4">
        <w:rPr>
          <w:rStyle w:val="Refdenotaalpie"/>
          <w:sz w:val="22"/>
          <w:lang w:val="es-ES_tradnl"/>
        </w:rPr>
        <w:footnoteReference w:id="42"/>
      </w:r>
      <w:r w:rsidR="00F60F74" w:rsidRPr="001152C4">
        <w:rPr>
          <w:sz w:val="22"/>
          <w:lang w:val="es-ES_tradnl"/>
        </w:rPr>
        <w:t xml:space="preserve"> debido a sus peculiaridades, como la escasez</w:t>
      </w:r>
      <w:r w:rsidR="000B1630" w:rsidRPr="001152C4">
        <w:rPr>
          <w:sz w:val="22"/>
          <w:lang w:val="es-ES_tradnl"/>
        </w:rPr>
        <w:t xml:space="preserve"> o</w:t>
      </w:r>
      <w:r w:rsidR="00F60F74" w:rsidRPr="001152C4">
        <w:rPr>
          <w:sz w:val="22"/>
          <w:lang w:val="es-ES_tradnl"/>
        </w:rPr>
        <w:t xml:space="preserve"> importancia estratégica</w:t>
      </w:r>
      <w:r w:rsidR="007B3632" w:rsidRPr="001152C4">
        <w:rPr>
          <w:rStyle w:val="Refdenotaalpie"/>
          <w:sz w:val="22"/>
          <w:lang w:val="es-ES_tradnl"/>
        </w:rPr>
        <w:footnoteReference w:id="43"/>
      </w:r>
      <w:r w:rsidR="000954A8" w:rsidRPr="001152C4">
        <w:rPr>
          <w:sz w:val="22"/>
          <w:lang w:val="es-ES_tradnl"/>
        </w:rPr>
        <w:t xml:space="preserve">, </w:t>
      </w:r>
      <w:r w:rsidR="001444A4" w:rsidRPr="001152C4">
        <w:rPr>
          <w:sz w:val="22"/>
          <w:lang w:val="es-ES_tradnl"/>
        </w:rPr>
        <w:t>buscando</w:t>
      </w:r>
      <w:r w:rsidR="000954A8" w:rsidRPr="001152C4">
        <w:rPr>
          <w:sz w:val="22"/>
          <w:lang w:val="es-ES_tradnl"/>
        </w:rPr>
        <w:t xml:space="preserve"> así un mejor aprovechamiento de los recursos</w:t>
      </w:r>
      <w:r w:rsidR="00F60F74" w:rsidRPr="001152C4">
        <w:rPr>
          <w:sz w:val="22"/>
          <w:lang w:val="es-ES_tradnl"/>
        </w:rPr>
        <w:t xml:space="preserve">. </w:t>
      </w:r>
    </w:p>
    <w:p w14:paraId="6420235F" w14:textId="170D864C" w:rsidR="00C568B6" w:rsidRPr="001152C4" w:rsidRDefault="00C568B6" w:rsidP="00BD08A1">
      <w:pPr>
        <w:pStyle w:val="Ttulo3"/>
      </w:pPr>
      <w:bookmarkStart w:id="24" w:name="_Toc160698841"/>
      <w:r w:rsidRPr="001152C4">
        <w:t>Requisitos de</w:t>
      </w:r>
      <w:r w:rsidR="00347EE5" w:rsidRPr="001152C4">
        <w:t xml:space="preserve"> una habilitación</w:t>
      </w:r>
      <w:bookmarkEnd w:id="24"/>
    </w:p>
    <w:p w14:paraId="3FF9E015" w14:textId="3DF67881" w:rsidR="00C568B6" w:rsidRPr="001152C4" w:rsidRDefault="00C568B6" w:rsidP="00C568B6">
      <w:pPr>
        <w:rPr>
          <w:sz w:val="22"/>
          <w:lang w:val="es-ES_tradnl"/>
        </w:rPr>
      </w:pPr>
      <w:r w:rsidRPr="001152C4">
        <w:rPr>
          <w:sz w:val="22"/>
          <w:lang w:val="es-ES_tradnl"/>
        </w:rPr>
        <w:t xml:space="preserve">En muchos mercados, está vigente la obligación de que todo proveedor obtenga un acto administrativo que le </w:t>
      </w:r>
      <w:r w:rsidR="007F570A" w:rsidRPr="001152C4">
        <w:rPr>
          <w:sz w:val="22"/>
          <w:lang w:val="es-ES_tradnl"/>
        </w:rPr>
        <w:t xml:space="preserve">habilite </w:t>
      </w:r>
      <w:r w:rsidRPr="001152C4">
        <w:rPr>
          <w:sz w:val="22"/>
          <w:lang w:val="es-ES_tradnl"/>
        </w:rPr>
        <w:t>operar</w:t>
      </w:r>
      <w:r w:rsidR="007F570A" w:rsidRPr="001152C4">
        <w:rPr>
          <w:sz w:val="22"/>
          <w:lang w:val="es-ES_tradnl"/>
        </w:rPr>
        <w:t xml:space="preserve"> o realizar una actividad</w:t>
      </w:r>
      <w:r w:rsidRPr="001152C4">
        <w:rPr>
          <w:sz w:val="22"/>
          <w:lang w:val="es-ES_tradnl"/>
        </w:rPr>
        <w:t>. La obtención de dich</w:t>
      </w:r>
      <w:r w:rsidR="007F570A" w:rsidRPr="001152C4">
        <w:rPr>
          <w:sz w:val="22"/>
          <w:lang w:val="es-ES_tradnl"/>
        </w:rPr>
        <w:t xml:space="preserve">a habilitación </w:t>
      </w:r>
      <w:r w:rsidRPr="001152C4">
        <w:rPr>
          <w:sz w:val="22"/>
          <w:lang w:val="es-ES_tradnl"/>
        </w:rPr>
        <w:t>normalmente requiere el cumplimiento de ciertos requisitos</w:t>
      </w:r>
      <w:r w:rsidR="007F570A" w:rsidRPr="001152C4">
        <w:rPr>
          <w:sz w:val="22"/>
          <w:lang w:val="es-ES_tradnl"/>
        </w:rPr>
        <w:t xml:space="preserve">. </w:t>
      </w:r>
    </w:p>
    <w:p w14:paraId="6F89202A" w14:textId="390BCA7C" w:rsidR="00347EE5" w:rsidRPr="001152C4" w:rsidRDefault="00347EE5" w:rsidP="00347EE5">
      <w:pPr>
        <w:rPr>
          <w:sz w:val="22"/>
          <w:lang w:val="es-ES_tradnl"/>
        </w:rPr>
      </w:pPr>
      <w:r w:rsidRPr="001152C4">
        <w:rPr>
          <w:sz w:val="22"/>
          <w:lang w:val="es-ES_tradnl"/>
        </w:rPr>
        <w:t>Por un lado, la sola exigencia de contar con una licencia, permiso o autorización para realizar una actividad se constituye en una barrera regulatoria, en contraposición con el ejercicio libre de la industria, arte, comercio o profesión por parte de la persona</w:t>
      </w:r>
      <w:r w:rsidR="0048266E" w:rsidRPr="001152C4">
        <w:rPr>
          <w:sz w:val="22"/>
          <w:lang w:val="es-ES_tradnl"/>
        </w:rPr>
        <w:t>,</w:t>
      </w:r>
      <w:r w:rsidR="007F570A" w:rsidRPr="001152C4">
        <w:rPr>
          <w:sz w:val="22"/>
          <w:lang w:val="es-ES_tradnl"/>
        </w:rPr>
        <w:t xml:space="preserve"> </w:t>
      </w:r>
      <w:r w:rsidRPr="001152C4">
        <w:rPr>
          <w:sz w:val="22"/>
          <w:lang w:val="es-ES_tradnl"/>
        </w:rPr>
        <w:t>quizás sumado a una obligación de registro</w:t>
      </w:r>
      <w:r w:rsidR="00F94C82">
        <w:rPr>
          <w:rStyle w:val="Refdenotaalpie"/>
          <w:sz w:val="22"/>
          <w:lang w:val="es-ES_tradnl"/>
        </w:rPr>
        <w:footnoteReference w:id="44"/>
      </w:r>
      <w:r w:rsidRPr="001152C4">
        <w:rPr>
          <w:sz w:val="22"/>
          <w:lang w:val="es-ES_tradnl"/>
        </w:rPr>
        <w:t xml:space="preserve">. </w:t>
      </w:r>
    </w:p>
    <w:p w14:paraId="113592D2" w14:textId="1463C6D9" w:rsidR="0088754C" w:rsidRPr="001152C4" w:rsidRDefault="00347EE5" w:rsidP="0088754C">
      <w:pPr>
        <w:rPr>
          <w:sz w:val="22"/>
          <w:lang w:val="es-ES_tradnl"/>
        </w:rPr>
      </w:pPr>
      <w:r w:rsidRPr="001152C4">
        <w:rPr>
          <w:sz w:val="22"/>
          <w:lang w:val="es-ES_tradnl"/>
        </w:rPr>
        <w:t xml:space="preserve">En muchos casos, sin embargo, la exigencia de contar con una licencia, permiso o autorización puede estar justificada, </w:t>
      </w:r>
      <w:r w:rsidR="0048266E" w:rsidRPr="001152C4">
        <w:rPr>
          <w:sz w:val="22"/>
          <w:lang w:val="es-ES_tradnl"/>
        </w:rPr>
        <w:t xml:space="preserve">pero </w:t>
      </w:r>
      <w:r w:rsidR="0088754C" w:rsidRPr="001152C4">
        <w:rPr>
          <w:sz w:val="22"/>
          <w:lang w:val="es-ES_tradnl"/>
        </w:rPr>
        <w:t xml:space="preserve">igualmente corresponde analizar </w:t>
      </w:r>
      <w:r w:rsidR="0048266E" w:rsidRPr="001152C4">
        <w:rPr>
          <w:sz w:val="22"/>
          <w:lang w:val="es-ES_tradnl"/>
        </w:rPr>
        <w:t xml:space="preserve">cuáles son </w:t>
      </w:r>
      <w:r w:rsidR="0088754C" w:rsidRPr="001152C4">
        <w:rPr>
          <w:sz w:val="22"/>
          <w:lang w:val="es-ES_tradnl"/>
        </w:rPr>
        <w:t xml:space="preserve">los requisitos </w:t>
      </w:r>
      <w:r w:rsidR="003F5127">
        <w:rPr>
          <w:sz w:val="22"/>
          <w:lang w:val="es-ES_tradnl"/>
        </w:rPr>
        <w:t>para acceder a ella</w:t>
      </w:r>
      <w:r w:rsidR="0088754C" w:rsidRPr="001152C4">
        <w:rPr>
          <w:sz w:val="22"/>
          <w:lang w:val="es-ES_tradnl"/>
        </w:rPr>
        <w:t xml:space="preserve">. Los requisitos normalmente son incluidos de manera a garantizar ciertos estándares de calidad de los bienes y servicios, y pueden relacionarse con criterios de solvencia técnica y financiera del proveedor, </w:t>
      </w:r>
      <w:r w:rsidR="0047284E" w:rsidRPr="001152C4">
        <w:rPr>
          <w:sz w:val="22"/>
          <w:lang w:val="es-ES_tradnl"/>
        </w:rPr>
        <w:t xml:space="preserve">ciertos años de experiencia o antigüedad en la realización de actividades relacionadas, </w:t>
      </w:r>
      <w:r w:rsidR="0088754C" w:rsidRPr="001152C4">
        <w:rPr>
          <w:sz w:val="22"/>
          <w:lang w:val="es-ES_tradnl"/>
        </w:rPr>
        <w:t xml:space="preserve">la exigencia de infraestructura o </w:t>
      </w:r>
      <w:r w:rsidR="00365F5C" w:rsidRPr="001152C4">
        <w:rPr>
          <w:sz w:val="22"/>
          <w:lang w:val="es-ES_tradnl"/>
        </w:rPr>
        <w:t xml:space="preserve">el cumplimiento de otros objetivos de interés </w:t>
      </w:r>
      <w:r w:rsidR="00C10FC2" w:rsidRPr="001152C4">
        <w:rPr>
          <w:sz w:val="22"/>
          <w:lang w:val="es-ES_tradnl"/>
        </w:rPr>
        <w:t xml:space="preserve">general </w:t>
      </w:r>
      <w:r w:rsidR="00365F5C" w:rsidRPr="001152C4">
        <w:rPr>
          <w:sz w:val="22"/>
          <w:lang w:val="es-ES_tradnl"/>
        </w:rPr>
        <w:t>como el cumplimiento de normativas de seguridad social, la protección del medio ambiente o la seguridad</w:t>
      </w:r>
      <w:r w:rsidR="00365F5C" w:rsidRPr="001152C4">
        <w:rPr>
          <w:rStyle w:val="Refdenotaalpie"/>
          <w:sz w:val="22"/>
          <w:lang w:val="es-ES_tradnl"/>
        </w:rPr>
        <w:footnoteReference w:id="45"/>
      </w:r>
      <w:r w:rsidR="00365F5C" w:rsidRPr="001152C4">
        <w:rPr>
          <w:sz w:val="22"/>
          <w:lang w:val="es-ES_tradnl"/>
        </w:rPr>
        <w:t xml:space="preserve">. </w:t>
      </w:r>
    </w:p>
    <w:p w14:paraId="69F52EF3" w14:textId="18ECB8C2" w:rsidR="00347EE5" w:rsidRDefault="0048266E" w:rsidP="00347EE5">
      <w:pPr>
        <w:rPr>
          <w:sz w:val="22"/>
          <w:lang w:val="es-ES_tradnl"/>
        </w:rPr>
      </w:pPr>
      <w:r w:rsidRPr="001152C4">
        <w:rPr>
          <w:sz w:val="22"/>
          <w:lang w:val="es-ES_tradnl"/>
        </w:rPr>
        <w:t>Sin embargo</w:t>
      </w:r>
      <w:r w:rsidR="0088754C" w:rsidRPr="001152C4">
        <w:rPr>
          <w:sz w:val="22"/>
          <w:lang w:val="es-ES_tradnl"/>
        </w:rPr>
        <w:t xml:space="preserve">, al disponer los requisitos para una </w:t>
      </w:r>
      <w:r w:rsidR="00347EE5" w:rsidRPr="001152C4">
        <w:rPr>
          <w:sz w:val="22"/>
          <w:lang w:val="es-ES_tradnl"/>
        </w:rPr>
        <w:t>ha</w:t>
      </w:r>
      <w:r w:rsidR="007F570A" w:rsidRPr="001152C4">
        <w:rPr>
          <w:sz w:val="22"/>
          <w:lang w:val="es-ES_tradnl"/>
        </w:rPr>
        <w:t>bilitación</w:t>
      </w:r>
      <w:r w:rsidR="0088754C" w:rsidRPr="001152C4">
        <w:rPr>
          <w:sz w:val="22"/>
          <w:lang w:val="es-ES_tradnl"/>
        </w:rPr>
        <w:t xml:space="preserve">, una norma </w:t>
      </w:r>
      <w:r w:rsidRPr="001152C4">
        <w:rPr>
          <w:sz w:val="22"/>
          <w:lang w:val="es-ES_tradnl"/>
        </w:rPr>
        <w:t xml:space="preserve">podría </w:t>
      </w:r>
      <w:r w:rsidR="00365F5C" w:rsidRPr="001152C4">
        <w:rPr>
          <w:sz w:val="22"/>
          <w:lang w:val="es-ES_tradnl"/>
        </w:rPr>
        <w:t>impone</w:t>
      </w:r>
      <w:r w:rsidRPr="001152C4">
        <w:rPr>
          <w:sz w:val="22"/>
          <w:lang w:val="es-ES_tradnl"/>
        </w:rPr>
        <w:t>r</w:t>
      </w:r>
      <w:r w:rsidR="00365F5C" w:rsidRPr="001152C4">
        <w:rPr>
          <w:sz w:val="22"/>
          <w:lang w:val="es-ES_tradnl"/>
        </w:rPr>
        <w:t xml:space="preserve"> </w:t>
      </w:r>
      <w:r w:rsidR="0088754C" w:rsidRPr="001152C4">
        <w:rPr>
          <w:sz w:val="22"/>
          <w:lang w:val="es-ES_tradnl"/>
        </w:rPr>
        <w:t xml:space="preserve">exigencias </w:t>
      </w:r>
      <w:r w:rsidR="007F570A" w:rsidRPr="001152C4">
        <w:rPr>
          <w:sz w:val="22"/>
          <w:lang w:val="es-ES_tradnl"/>
        </w:rPr>
        <w:t>excesiv</w:t>
      </w:r>
      <w:r w:rsidR="0088754C" w:rsidRPr="001152C4">
        <w:rPr>
          <w:sz w:val="22"/>
          <w:lang w:val="es-ES_tradnl"/>
        </w:rPr>
        <w:t>a</w:t>
      </w:r>
      <w:r w:rsidR="007F570A" w:rsidRPr="001152C4">
        <w:rPr>
          <w:sz w:val="22"/>
          <w:lang w:val="es-ES_tradnl"/>
        </w:rPr>
        <w:t>s</w:t>
      </w:r>
      <w:r w:rsidR="0088754C" w:rsidRPr="001152C4">
        <w:rPr>
          <w:sz w:val="22"/>
          <w:lang w:val="es-ES_tradnl"/>
        </w:rPr>
        <w:t>, constituyendo barreras</w:t>
      </w:r>
      <w:r w:rsidRPr="001152C4">
        <w:rPr>
          <w:sz w:val="22"/>
          <w:lang w:val="es-ES_tradnl"/>
        </w:rPr>
        <w:t xml:space="preserve"> </w:t>
      </w:r>
      <w:r w:rsidR="003F5127">
        <w:rPr>
          <w:sz w:val="22"/>
          <w:lang w:val="es-ES_tradnl"/>
        </w:rPr>
        <w:t xml:space="preserve">que </w:t>
      </w:r>
      <w:r w:rsidRPr="001152C4">
        <w:rPr>
          <w:sz w:val="22"/>
          <w:lang w:val="es-ES_tradnl"/>
        </w:rPr>
        <w:t>ameritan el análisis de la justificación</w:t>
      </w:r>
      <w:r w:rsidR="007F570A" w:rsidRPr="001152C4">
        <w:rPr>
          <w:sz w:val="22"/>
          <w:lang w:val="es-ES_tradnl"/>
        </w:rPr>
        <w:t>.</w:t>
      </w:r>
      <w:r w:rsidR="0088754C" w:rsidRPr="001152C4">
        <w:rPr>
          <w:sz w:val="22"/>
          <w:lang w:val="es-ES_tradnl"/>
        </w:rPr>
        <w:t xml:space="preserve"> </w:t>
      </w:r>
    </w:p>
    <w:p w14:paraId="1DB16141" w14:textId="40251ADD" w:rsidR="00F25294" w:rsidRPr="001152C4" w:rsidRDefault="000D7F80" w:rsidP="00BD08A1">
      <w:pPr>
        <w:pStyle w:val="Ttulo3"/>
      </w:pPr>
      <w:bookmarkStart w:id="25" w:name="_Toc160698842"/>
      <w:r w:rsidRPr="001152C4">
        <w:t>Cantidad limitada de competidores</w:t>
      </w:r>
      <w:bookmarkEnd w:id="25"/>
    </w:p>
    <w:p w14:paraId="6DE21333" w14:textId="08A199ED" w:rsidR="00F25294" w:rsidRPr="001152C4" w:rsidRDefault="00F25294" w:rsidP="00F25294">
      <w:pPr>
        <w:rPr>
          <w:sz w:val="22"/>
          <w:lang w:val="es-ES_tradnl"/>
        </w:rPr>
      </w:pPr>
      <w:r w:rsidRPr="001152C4">
        <w:rPr>
          <w:sz w:val="22"/>
          <w:lang w:val="es-ES_tradnl"/>
        </w:rPr>
        <w:t xml:space="preserve">Algunas normativas pueden abrir la competencia en el mercado a varios operadores, pero pueden igualmente contener una limitación directa de la cantidad de empresas que pueden operar. </w:t>
      </w:r>
      <w:r w:rsidR="00C568B6" w:rsidRPr="001152C4">
        <w:rPr>
          <w:sz w:val="22"/>
          <w:lang w:val="es-ES_tradnl"/>
        </w:rPr>
        <w:t>Estas normas suelen encontrarse en casos de mercados que están abriéndose a la competencia, de manera a apoyar las inversiones de los operadores iniciales. Sin embargo, e</w:t>
      </w:r>
      <w:r w:rsidRPr="001152C4">
        <w:rPr>
          <w:sz w:val="22"/>
          <w:lang w:val="es-ES_tradnl"/>
        </w:rPr>
        <w:t xml:space="preserve">stas medidas incentivan la concentración del mercado en unas pocas empresas. </w:t>
      </w:r>
    </w:p>
    <w:p w14:paraId="013D6605" w14:textId="5C9F63E2" w:rsidR="00F25294" w:rsidRPr="001152C4" w:rsidRDefault="00DE4B8F" w:rsidP="00F25294">
      <w:pPr>
        <w:rPr>
          <w:sz w:val="22"/>
          <w:lang w:val="es-ES_tradnl"/>
        </w:rPr>
      </w:pPr>
      <w:r w:rsidRPr="001152C4">
        <w:rPr>
          <w:sz w:val="22"/>
          <w:lang w:val="es-PY"/>
        </w:rPr>
        <w:lastRenderedPageBreak/>
        <w:t xml:space="preserve">Esta barrera se agrava si la norma estableciese que las </w:t>
      </w:r>
      <w:r w:rsidRPr="001152C4">
        <w:rPr>
          <w:sz w:val="22"/>
          <w:lang w:val="es-ES_tradnl"/>
        </w:rPr>
        <w:t xml:space="preserve">autorizaciones otorgadas bajo este sistema se adjudicarán </w:t>
      </w:r>
      <w:r w:rsidR="009021C7" w:rsidRPr="001152C4">
        <w:rPr>
          <w:sz w:val="22"/>
          <w:lang w:val="es-ES_tradnl"/>
        </w:rPr>
        <w:t>sin previo concurso</w:t>
      </w:r>
      <w:r w:rsidR="00DF5C03" w:rsidRPr="001152C4">
        <w:rPr>
          <w:sz w:val="22"/>
          <w:lang w:val="es-ES_tradnl"/>
        </w:rPr>
        <w:t xml:space="preserve"> transparente y competitivo</w:t>
      </w:r>
      <w:r w:rsidR="00DF5C03" w:rsidRPr="001152C4">
        <w:rPr>
          <w:rStyle w:val="Refdenotaalpie"/>
          <w:sz w:val="22"/>
          <w:lang w:val="es-ES_tradnl"/>
        </w:rPr>
        <w:footnoteReference w:id="46"/>
      </w:r>
      <w:r w:rsidRPr="001152C4">
        <w:rPr>
          <w:sz w:val="22"/>
          <w:lang w:val="es-ES_tradnl"/>
        </w:rPr>
        <w:t xml:space="preserve">, </w:t>
      </w:r>
      <w:r w:rsidR="00DF5C03" w:rsidRPr="001152C4">
        <w:rPr>
          <w:sz w:val="22"/>
          <w:lang w:val="es-ES_tradnl"/>
        </w:rPr>
        <w:t xml:space="preserve">sino </w:t>
      </w:r>
      <w:r w:rsidRPr="001152C4">
        <w:rPr>
          <w:sz w:val="22"/>
          <w:lang w:val="es-ES_tradnl"/>
        </w:rPr>
        <w:t xml:space="preserve">mediante un régimen de orden de llegada de solicitud o de otorgamiento directo por el </w:t>
      </w:r>
      <w:r w:rsidR="0081534F">
        <w:rPr>
          <w:sz w:val="22"/>
          <w:lang w:val="es-ES_tradnl"/>
        </w:rPr>
        <w:t>municipio</w:t>
      </w:r>
      <w:r w:rsidRPr="001152C4">
        <w:rPr>
          <w:sz w:val="22"/>
          <w:lang w:val="es-ES_tradnl"/>
        </w:rPr>
        <w:t xml:space="preserve">. Asimismo, aunque se disponga el concurso, podría ser importante disponer periodos de vigencia de manera a evitar que el mercado se cierre </w:t>
      </w:r>
      <w:r w:rsidR="0081534F">
        <w:rPr>
          <w:sz w:val="22"/>
          <w:lang w:val="es-ES_tradnl"/>
        </w:rPr>
        <w:t xml:space="preserve">prolongadamente </w:t>
      </w:r>
      <w:r w:rsidRPr="001152C4">
        <w:rPr>
          <w:sz w:val="22"/>
          <w:lang w:val="es-ES_tradnl"/>
        </w:rPr>
        <w:t>a</w:t>
      </w:r>
      <w:r w:rsidR="0081534F">
        <w:rPr>
          <w:sz w:val="22"/>
          <w:lang w:val="es-ES_tradnl"/>
        </w:rPr>
        <w:t>lrededor de</w:t>
      </w:r>
      <w:r w:rsidRPr="001152C4">
        <w:rPr>
          <w:sz w:val="22"/>
          <w:lang w:val="es-ES_tradnl"/>
        </w:rPr>
        <w:t xml:space="preserve"> las empresas autorizadas. </w:t>
      </w:r>
    </w:p>
    <w:p w14:paraId="350AE893" w14:textId="13D73A65" w:rsidR="00DE2F84" w:rsidRPr="001152C4" w:rsidRDefault="00DE2F84" w:rsidP="00BD08A1">
      <w:pPr>
        <w:pStyle w:val="Ttulo3"/>
      </w:pPr>
      <w:bookmarkStart w:id="26" w:name="_Toc160698843"/>
      <w:r w:rsidRPr="001152C4">
        <w:t>Limitación de capacidad de proveer un bien o servicio</w:t>
      </w:r>
      <w:bookmarkEnd w:id="26"/>
    </w:p>
    <w:p w14:paraId="42E7E552" w14:textId="6923956F" w:rsidR="00DE2F84" w:rsidRPr="001152C4" w:rsidRDefault="00DE2F84" w:rsidP="00DE2F84">
      <w:pPr>
        <w:rPr>
          <w:sz w:val="22"/>
          <w:lang w:val="es-ES_tradnl"/>
        </w:rPr>
      </w:pPr>
      <w:r w:rsidRPr="001152C4">
        <w:rPr>
          <w:sz w:val="22"/>
          <w:lang w:val="es-ES_tradnl"/>
        </w:rPr>
        <w:t xml:space="preserve">En ocasiones, </w:t>
      </w:r>
      <w:r w:rsidR="00365F5C" w:rsidRPr="001152C4">
        <w:rPr>
          <w:sz w:val="22"/>
          <w:lang w:val="es-ES_tradnl"/>
        </w:rPr>
        <w:t xml:space="preserve">las normas </w:t>
      </w:r>
      <w:r w:rsidR="00DF5C03" w:rsidRPr="001152C4">
        <w:rPr>
          <w:sz w:val="22"/>
          <w:lang w:val="es-ES_tradnl"/>
        </w:rPr>
        <w:t xml:space="preserve">establecen </w:t>
      </w:r>
      <w:r w:rsidR="00C97FCA" w:rsidRPr="001152C4">
        <w:rPr>
          <w:sz w:val="22"/>
          <w:lang w:val="es-ES_tradnl"/>
        </w:rPr>
        <w:t>restricciones para que los proveedores</w:t>
      </w:r>
      <w:r w:rsidR="002E2180" w:rsidRPr="001152C4">
        <w:rPr>
          <w:sz w:val="22"/>
          <w:lang w:val="es-ES_tradnl"/>
        </w:rPr>
        <w:t xml:space="preserve"> provean ciertos bienes o servicios, resultando en que, aunque estos puedan operar, su oferta sea reducida generando el mismo efecto de limitar la cantidad de opciones disponibles para los consumidores. </w:t>
      </w:r>
    </w:p>
    <w:p w14:paraId="53C3FA32" w14:textId="7D68B5A9" w:rsidR="003978DC" w:rsidRPr="001152C4" w:rsidRDefault="002E2180" w:rsidP="003978DC">
      <w:pPr>
        <w:rPr>
          <w:sz w:val="22"/>
          <w:lang w:val="es-ES_tradnl"/>
        </w:rPr>
      </w:pPr>
      <w:r w:rsidRPr="001152C4">
        <w:rPr>
          <w:sz w:val="22"/>
          <w:lang w:val="es-ES_tradnl"/>
        </w:rPr>
        <w:t xml:space="preserve">Estas normas suelen estar relacionadas con una política de promover el desarrollo regional o de pequeños proveedores, y se encuentran principalmente vinculadas a disposiciones relativas a contrataciones públicas o el uso de subsidios públicos, asumiendo el </w:t>
      </w:r>
      <w:r w:rsidR="0081534F">
        <w:rPr>
          <w:sz w:val="22"/>
          <w:lang w:val="es-ES_tradnl"/>
        </w:rPr>
        <w:t>municipio</w:t>
      </w:r>
      <w:r w:rsidRPr="001152C4">
        <w:rPr>
          <w:sz w:val="22"/>
          <w:lang w:val="es-ES_tradnl"/>
        </w:rPr>
        <w:t xml:space="preserve"> cualquier costo aumentado que pueda generarse como producto de la política</w:t>
      </w:r>
      <w:r w:rsidR="003978DC">
        <w:rPr>
          <w:sz w:val="22"/>
          <w:lang w:val="es-ES_tradnl"/>
        </w:rPr>
        <w:t xml:space="preserve">. Asimismo, estas normas son frecuentes en casos de proveedores monopólicos, ya que la no regulación </w:t>
      </w:r>
      <w:r w:rsidR="003978DC" w:rsidRPr="00ED7913">
        <w:rPr>
          <w:sz w:val="22"/>
          <w:lang w:val="es-ES_tradnl"/>
        </w:rPr>
        <w:t xml:space="preserve">puede </w:t>
      </w:r>
      <w:r w:rsidR="003978DC">
        <w:rPr>
          <w:sz w:val="22"/>
          <w:lang w:val="es-ES_tradnl"/>
        </w:rPr>
        <w:t xml:space="preserve">motivar casos como, por ejemplo, que el proveedor genere sinergias de su mercado monopólico con otros productos o servicios </w:t>
      </w:r>
      <w:r w:rsidR="003978DC" w:rsidRPr="00ED7913">
        <w:rPr>
          <w:sz w:val="22"/>
          <w:lang w:val="es-ES_tradnl"/>
        </w:rPr>
        <w:t xml:space="preserve">en </w:t>
      </w:r>
      <w:r w:rsidR="003978DC">
        <w:rPr>
          <w:sz w:val="22"/>
          <w:lang w:val="es-ES_tradnl"/>
        </w:rPr>
        <w:t xml:space="preserve">otros </w:t>
      </w:r>
      <w:r w:rsidR="003978DC" w:rsidRPr="00ED7913">
        <w:rPr>
          <w:sz w:val="22"/>
          <w:lang w:val="es-ES_tradnl"/>
        </w:rPr>
        <w:t>mercados en competencia</w:t>
      </w:r>
      <w:r w:rsidR="003978DC">
        <w:rPr>
          <w:sz w:val="22"/>
          <w:lang w:val="es-ES_tradnl"/>
        </w:rPr>
        <w:t xml:space="preserve"> en los que también participa.</w:t>
      </w:r>
    </w:p>
    <w:p w14:paraId="595093C3" w14:textId="4CA84856" w:rsidR="002E2180" w:rsidRPr="001152C4" w:rsidRDefault="00F1492C" w:rsidP="00BD08A1">
      <w:pPr>
        <w:pStyle w:val="Ttulo3"/>
      </w:pPr>
      <w:bookmarkStart w:id="27" w:name="_Toc160698844"/>
      <w:r w:rsidRPr="001152C4">
        <w:t>Aumento de costos de entrada o salida</w:t>
      </w:r>
      <w:bookmarkEnd w:id="27"/>
    </w:p>
    <w:p w14:paraId="01EE7980" w14:textId="6984BF5A" w:rsidR="002E2180" w:rsidRPr="001152C4" w:rsidRDefault="00F1492C" w:rsidP="00DE2F84">
      <w:pPr>
        <w:rPr>
          <w:sz w:val="22"/>
          <w:lang w:val="es-ES_tradnl"/>
        </w:rPr>
      </w:pPr>
      <w:r w:rsidRPr="001152C4">
        <w:rPr>
          <w:sz w:val="22"/>
          <w:lang w:val="es-ES_tradnl"/>
        </w:rPr>
        <w:t xml:space="preserve">Algunas normas disuaden el ingreso de nuevos competidores en el mercado mediante el aumento significativo de los costos </w:t>
      </w:r>
      <w:r w:rsidR="0047284E" w:rsidRPr="001152C4">
        <w:rPr>
          <w:sz w:val="22"/>
          <w:lang w:val="es-ES_tradnl"/>
        </w:rPr>
        <w:t xml:space="preserve">económicos </w:t>
      </w:r>
      <w:r w:rsidRPr="001152C4">
        <w:rPr>
          <w:sz w:val="22"/>
          <w:lang w:val="es-ES_tradnl"/>
        </w:rPr>
        <w:t xml:space="preserve">de entrada o salida </w:t>
      </w:r>
      <w:r w:rsidR="009E0EA9" w:rsidRPr="001152C4">
        <w:rPr>
          <w:sz w:val="22"/>
          <w:lang w:val="es-ES_tradnl"/>
        </w:rPr>
        <w:t>a través de</w:t>
      </w:r>
      <w:r w:rsidRPr="001152C4">
        <w:rPr>
          <w:sz w:val="22"/>
          <w:lang w:val="es-ES_tradnl"/>
        </w:rPr>
        <w:t xml:space="preserve"> una regulación</w:t>
      </w:r>
      <w:r w:rsidR="009E0EA9" w:rsidRPr="001152C4">
        <w:rPr>
          <w:rStyle w:val="Refdenotaalpie"/>
          <w:sz w:val="22"/>
          <w:lang w:val="es-ES_tradnl"/>
        </w:rPr>
        <w:footnoteReference w:id="47"/>
      </w:r>
      <w:r w:rsidRPr="001152C4">
        <w:rPr>
          <w:sz w:val="22"/>
          <w:lang w:val="es-ES_tradnl"/>
        </w:rPr>
        <w:t xml:space="preserve">. </w:t>
      </w:r>
    </w:p>
    <w:p w14:paraId="24EE84A0" w14:textId="555687C1" w:rsidR="0047284E" w:rsidRPr="001152C4" w:rsidRDefault="0047284E" w:rsidP="00DE2F84">
      <w:pPr>
        <w:rPr>
          <w:sz w:val="22"/>
          <w:lang w:val="es-ES_tradnl"/>
        </w:rPr>
      </w:pPr>
      <w:r w:rsidRPr="001152C4">
        <w:rPr>
          <w:sz w:val="22"/>
          <w:lang w:val="es-ES_tradnl"/>
        </w:rPr>
        <w:t xml:space="preserve">Si bien estas normas normalmente buscan garantizar cierto estándar de calidad en la prestación de bienes y servicios, los mismos podrían ser innecesarios para la satisfacción de las necesidades de un grupo de consumidores y solo terminan reduciendo la cantidad de opciones disponibles. </w:t>
      </w:r>
    </w:p>
    <w:p w14:paraId="34009C0D" w14:textId="4575D12B" w:rsidR="0047284E" w:rsidRPr="001152C4" w:rsidRDefault="002A3AA2" w:rsidP="00BD08A1">
      <w:pPr>
        <w:pStyle w:val="Ttulo3"/>
      </w:pPr>
      <w:bookmarkStart w:id="28" w:name="_Toc160698845"/>
      <w:r w:rsidRPr="001152C4">
        <w:t>Restricciones geográficas</w:t>
      </w:r>
      <w:bookmarkEnd w:id="28"/>
    </w:p>
    <w:p w14:paraId="775A17D2" w14:textId="3CAB72D0" w:rsidR="00EF3508" w:rsidRPr="001152C4" w:rsidRDefault="002A3AA2" w:rsidP="00DE2F84">
      <w:pPr>
        <w:rPr>
          <w:sz w:val="22"/>
          <w:lang w:val="es-ES_tradnl"/>
        </w:rPr>
      </w:pPr>
      <w:r w:rsidRPr="001152C4">
        <w:rPr>
          <w:sz w:val="22"/>
          <w:lang w:val="es-ES_tradnl"/>
        </w:rPr>
        <w:t xml:space="preserve">En ocasiones, las normativas establecen limitaciones geográficas para la prestación de ciertos servicios o la oferta de bienes. </w:t>
      </w:r>
      <w:r w:rsidR="00EF3508" w:rsidRPr="001152C4">
        <w:rPr>
          <w:sz w:val="22"/>
          <w:lang w:val="es-ES_tradnl"/>
        </w:rPr>
        <w:t xml:space="preserve">Estas normas pueden tener la forma de una prohibición para </w:t>
      </w:r>
      <w:r w:rsidR="00EF3508" w:rsidRPr="001152C4">
        <w:rPr>
          <w:sz w:val="22"/>
          <w:lang w:val="es-ES_tradnl"/>
        </w:rPr>
        <w:lastRenderedPageBreak/>
        <w:t xml:space="preserve">operar en ciertas zonas, la exigencia de distancias mínimas entre competidores, </w:t>
      </w:r>
      <w:r w:rsidR="0048266E" w:rsidRPr="001152C4">
        <w:rPr>
          <w:sz w:val="22"/>
          <w:lang w:val="es-ES_tradnl"/>
        </w:rPr>
        <w:t xml:space="preserve">ente otras. </w:t>
      </w:r>
    </w:p>
    <w:p w14:paraId="4B3387C9" w14:textId="0827211A" w:rsidR="0047284E" w:rsidRPr="001152C4" w:rsidRDefault="002A3AA2" w:rsidP="00DE2F84">
      <w:pPr>
        <w:rPr>
          <w:sz w:val="22"/>
          <w:lang w:val="es-ES_tradnl"/>
        </w:rPr>
      </w:pPr>
      <w:r w:rsidRPr="001152C4">
        <w:rPr>
          <w:sz w:val="22"/>
          <w:lang w:val="es-ES_tradnl"/>
        </w:rPr>
        <w:t>Estas normativas tienen el efecto de reducir la cantidad de oferentes en regiones delimitadas por la normativa</w:t>
      </w:r>
      <w:r w:rsidR="0048266E" w:rsidRPr="001152C4">
        <w:rPr>
          <w:sz w:val="22"/>
          <w:lang w:val="es-ES_tradnl"/>
        </w:rPr>
        <w:t xml:space="preserve"> y buscan </w:t>
      </w:r>
      <w:r w:rsidRPr="001152C4">
        <w:rPr>
          <w:sz w:val="22"/>
          <w:lang w:val="es-ES_tradnl"/>
        </w:rPr>
        <w:t xml:space="preserve">normalmente </w:t>
      </w:r>
      <w:r w:rsidR="00EF3508" w:rsidRPr="001152C4">
        <w:rPr>
          <w:sz w:val="22"/>
          <w:lang w:val="es-ES_tradnl"/>
        </w:rPr>
        <w:t>objetivos como la protección d</w:t>
      </w:r>
      <w:r w:rsidRPr="001152C4">
        <w:rPr>
          <w:sz w:val="22"/>
          <w:lang w:val="es-ES_tradnl"/>
        </w:rPr>
        <w:t xml:space="preserve">el desarrollo </w:t>
      </w:r>
      <w:r w:rsidR="0038164E" w:rsidRPr="001152C4">
        <w:rPr>
          <w:sz w:val="22"/>
          <w:lang w:val="es-ES_tradnl"/>
        </w:rPr>
        <w:t>económico de dichas regiones o de los participantes existentes</w:t>
      </w:r>
      <w:r w:rsidR="0038164E" w:rsidRPr="001152C4">
        <w:rPr>
          <w:rStyle w:val="Refdenotaalpie"/>
          <w:sz w:val="22"/>
          <w:lang w:val="es-ES_tradnl"/>
        </w:rPr>
        <w:footnoteReference w:id="48"/>
      </w:r>
      <w:r w:rsidR="00EF3508" w:rsidRPr="001152C4">
        <w:rPr>
          <w:sz w:val="22"/>
          <w:lang w:val="es-ES_tradnl"/>
        </w:rPr>
        <w:t>, la protección del medio ambiente, una distribución que permita una mejor cobertura geográfica de la oferta o el desincentivo de ciertas conductas en regiones específicas</w:t>
      </w:r>
      <w:r w:rsidR="0038164E" w:rsidRPr="001152C4">
        <w:rPr>
          <w:sz w:val="22"/>
          <w:lang w:val="es-ES_tradnl"/>
        </w:rPr>
        <w:t xml:space="preserve">. </w:t>
      </w:r>
    </w:p>
    <w:p w14:paraId="3964C3F8" w14:textId="4C78ACDD" w:rsidR="002A3AA2" w:rsidRPr="001152C4" w:rsidRDefault="0048266E" w:rsidP="00DE2F84">
      <w:pPr>
        <w:rPr>
          <w:sz w:val="22"/>
          <w:lang w:val="es-ES_tradnl"/>
        </w:rPr>
      </w:pPr>
      <w:r w:rsidRPr="001152C4">
        <w:rPr>
          <w:sz w:val="22"/>
          <w:lang w:val="es-ES_tradnl"/>
        </w:rPr>
        <w:t xml:space="preserve">El efecto de esta barrera es la reducción de </w:t>
      </w:r>
      <w:r w:rsidR="0038164E" w:rsidRPr="001152C4">
        <w:rPr>
          <w:sz w:val="22"/>
          <w:lang w:val="es-ES_tradnl"/>
        </w:rPr>
        <w:t xml:space="preserve">la cantidad de opciones disponibles para los consumidores en la región afectada. Por otro lado, el futuro análisis de costos y beneficios deberá </w:t>
      </w:r>
      <w:r w:rsidR="003F5127">
        <w:rPr>
          <w:sz w:val="22"/>
          <w:lang w:val="es-ES_tradnl"/>
        </w:rPr>
        <w:t>considerar</w:t>
      </w:r>
      <w:r w:rsidR="003F5127" w:rsidRPr="001152C4">
        <w:rPr>
          <w:sz w:val="22"/>
          <w:lang w:val="es-ES_tradnl"/>
        </w:rPr>
        <w:t xml:space="preserve"> </w:t>
      </w:r>
      <w:r w:rsidR="0038164E" w:rsidRPr="001152C4">
        <w:rPr>
          <w:sz w:val="22"/>
          <w:lang w:val="es-ES_tradnl"/>
        </w:rPr>
        <w:t xml:space="preserve">que estas normas podrían incentivar la movilidad de los inversores y los consumidores a las zonas donde haya mayor libertad de actuación o bien motivar prácticas ilegales en la región restringida, perjudicando en ambos casos el desarrollo económico de dicha región. </w:t>
      </w:r>
    </w:p>
    <w:p w14:paraId="30915035" w14:textId="28613A6B" w:rsidR="006830FD" w:rsidRPr="001152C4" w:rsidRDefault="006830FD" w:rsidP="00BD08A1">
      <w:pPr>
        <w:pStyle w:val="Ttulo2"/>
      </w:pPr>
      <w:bookmarkStart w:id="29" w:name="_Toc160698846"/>
      <w:r w:rsidRPr="001152C4">
        <w:t>Normas que limitan la capacidad de competir</w:t>
      </w:r>
      <w:bookmarkEnd w:id="29"/>
    </w:p>
    <w:p w14:paraId="3A300633" w14:textId="4C8C7194" w:rsidR="006830FD" w:rsidRPr="001152C4" w:rsidRDefault="007E3FD8" w:rsidP="006830FD">
      <w:pPr>
        <w:rPr>
          <w:sz w:val="22"/>
          <w:lang w:val="es-ES_tradnl"/>
        </w:rPr>
      </w:pPr>
      <w:r w:rsidRPr="001152C4">
        <w:rPr>
          <w:sz w:val="22"/>
          <w:lang w:val="es-ES_tradnl"/>
        </w:rPr>
        <w:t xml:space="preserve">Existen normas que no restringen la cantidad de proveedores que puede haber en un mercado, pero lesionan la capacidad de los operadores de competir, afectando alguno de los factores diferenciadores como el precio, la calidad o la innovación en los bienes o servicios ofertados. </w:t>
      </w:r>
    </w:p>
    <w:p w14:paraId="434EB7CC" w14:textId="76FB3B87" w:rsidR="007E3FD8" w:rsidRPr="001152C4" w:rsidRDefault="007E3FD8" w:rsidP="00BD08A1">
      <w:pPr>
        <w:pStyle w:val="Ttulo3"/>
      </w:pPr>
      <w:bookmarkStart w:id="30" w:name="_Toc160698847"/>
      <w:r w:rsidRPr="001152C4">
        <w:t>Normas sobre precios</w:t>
      </w:r>
      <w:bookmarkEnd w:id="30"/>
    </w:p>
    <w:p w14:paraId="1F279B30" w14:textId="0517FA8A" w:rsidR="007E3FD8" w:rsidRPr="001152C4" w:rsidRDefault="009D2207" w:rsidP="007E3FD8">
      <w:pPr>
        <w:rPr>
          <w:sz w:val="22"/>
          <w:lang w:val="es-ES_tradnl"/>
        </w:rPr>
      </w:pPr>
      <w:r w:rsidRPr="001152C4">
        <w:rPr>
          <w:sz w:val="22"/>
          <w:lang w:val="es-ES_tradnl"/>
        </w:rPr>
        <w:t xml:space="preserve">Las normas que establecen precios fijos, precios mínimos, precios máximos o precios referenciales afectan directamente la capacidad de los proveedores de establecer libremente los precios de venta de sus bienes o servicios. </w:t>
      </w:r>
    </w:p>
    <w:p w14:paraId="547CC809" w14:textId="1F93541B" w:rsidR="00364128" w:rsidRPr="001152C4" w:rsidRDefault="006B3D85" w:rsidP="006B3D85">
      <w:pPr>
        <w:rPr>
          <w:sz w:val="22"/>
          <w:lang w:val="es-ES_tradnl"/>
        </w:rPr>
      </w:pPr>
      <w:r w:rsidRPr="001152C4">
        <w:rPr>
          <w:sz w:val="22"/>
          <w:lang w:val="es-ES_tradnl"/>
        </w:rPr>
        <w:t>Si bien la regulación de precios suele emplearse como instrumento de política económica en momentos de crisis, diversas opiniones</w:t>
      </w:r>
      <w:r w:rsidR="00CC732C">
        <w:rPr>
          <w:rStyle w:val="Refdenotaalpie"/>
          <w:sz w:val="22"/>
          <w:lang w:val="es-ES_tradnl"/>
        </w:rPr>
        <w:footnoteReference w:id="49"/>
      </w:r>
      <w:r w:rsidRPr="001152C4">
        <w:rPr>
          <w:sz w:val="22"/>
          <w:lang w:val="es-ES_tradnl"/>
        </w:rPr>
        <w:t xml:space="preserve"> de la CONACOM han expuesto los riesgos que conllevan este tipo de normativas, especialmente si las medidas no se adoptan con limitaciones temporales. </w:t>
      </w:r>
    </w:p>
    <w:p w14:paraId="5C9339F3" w14:textId="50559AEA" w:rsidR="00CA531E" w:rsidRPr="001152C4" w:rsidRDefault="00CA531E" w:rsidP="006B3D85">
      <w:pPr>
        <w:rPr>
          <w:sz w:val="22"/>
          <w:lang w:val="es-ES_tradnl"/>
        </w:rPr>
      </w:pPr>
      <w:r w:rsidRPr="001152C4">
        <w:rPr>
          <w:sz w:val="22"/>
          <w:lang w:val="es-ES_tradnl"/>
        </w:rPr>
        <w:t xml:space="preserve">Cabe observar además que uno de los riesgos de estas medidas es el fomento de un mercado ilegal, si existiese una demanda y una oferta que estén dispuestos a operar con los precios de mercado. </w:t>
      </w:r>
    </w:p>
    <w:p w14:paraId="7F24E6F5" w14:textId="0A459D3C" w:rsidR="00B80BE1" w:rsidRPr="001152C4" w:rsidRDefault="00B80BE1" w:rsidP="006B3D85">
      <w:pPr>
        <w:rPr>
          <w:sz w:val="22"/>
          <w:lang w:val="es-ES_tradnl"/>
        </w:rPr>
      </w:pPr>
      <w:r w:rsidRPr="001152C4">
        <w:rPr>
          <w:sz w:val="22"/>
          <w:lang w:val="es-ES_tradnl"/>
        </w:rPr>
        <w:t xml:space="preserve">En todos estos casos, la fijación de precios amerita atención también sobre la metodología de definición de los precios, que en muchos casos incluye una participación del sector privado que puede estar motivado a influir en el regulador con precios que se adecuen a los intereses de todo o parte del sector. </w:t>
      </w:r>
    </w:p>
    <w:p w14:paraId="3991C5A7" w14:textId="17A9AD99" w:rsidR="00364128" w:rsidRPr="001152C4" w:rsidRDefault="00364128" w:rsidP="00364128">
      <w:pPr>
        <w:pStyle w:val="Ttulo4"/>
        <w:rPr>
          <w:sz w:val="22"/>
          <w:lang w:val="es-ES_tradnl"/>
        </w:rPr>
      </w:pPr>
      <w:r w:rsidRPr="001152C4">
        <w:rPr>
          <w:sz w:val="22"/>
          <w:lang w:val="es-ES_tradnl"/>
        </w:rPr>
        <w:lastRenderedPageBreak/>
        <w:t>Precios mínimos</w:t>
      </w:r>
    </w:p>
    <w:p w14:paraId="54FD1C20" w14:textId="53ABE7E2" w:rsidR="00CA531E" w:rsidRPr="001152C4" w:rsidRDefault="00CA531E" w:rsidP="00364128">
      <w:pPr>
        <w:rPr>
          <w:rStyle w:val="markedcontent"/>
          <w:sz w:val="22"/>
        </w:rPr>
      </w:pPr>
      <w:r w:rsidRPr="001152C4">
        <w:rPr>
          <w:rStyle w:val="markedcontent"/>
          <w:sz w:val="22"/>
        </w:rPr>
        <w:t>Las reglamentaciones que imponen precios mínimos algunas veces se utilizan</w:t>
      </w:r>
      <w:r w:rsidRPr="001152C4">
        <w:rPr>
          <w:sz w:val="22"/>
        </w:rPr>
        <w:br/>
      </w:r>
      <w:r w:rsidRPr="001152C4">
        <w:rPr>
          <w:rStyle w:val="markedcontent"/>
          <w:sz w:val="22"/>
        </w:rPr>
        <w:t xml:space="preserve">como respuesta a una competencia extremadamente vigorosa y </w:t>
      </w:r>
      <w:r w:rsidRPr="001152C4">
        <w:rPr>
          <w:rStyle w:val="markedcontent"/>
          <w:i/>
          <w:iCs/>
          <w:sz w:val="22"/>
        </w:rPr>
        <w:t xml:space="preserve">son generalmente percibidas como medio para proteger a los pequeños proveedores de la competencia </w:t>
      </w:r>
      <w:r w:rsidRPr="001152C4">
        <w:rPr>
          <w:rStyle w:val="markedcontent"/>
          <w:sz w:val="22"/>
        </w:rPr>
        <w:t>desleal</w:t>
      </w:r>
      <w:r w:rsidRPr="001152C4">
        <w:rPr>
          <w:rStyle w:val="Refdenotaalpie"/>
          <w:sz w:val="22"/>
        </w:rPr>
        <w:footnoteReference w:id="50"/>
      </w:r>
      <w:r w:rsidRPr="001152C4">
        <w:rPr>
          <w:rStyle w:val="markedcontent"/>
          <w:sz w:val="22"/>
        </w:rPr>
        <w:t xml:space="preserve">. </w:t>
      </w:r>
    </w:p>
    <w:p w14:paraId="69CFBBE1" w14:textId="010D3782" w:rsidR="00CA531E" w:rsidRPr="001152C4" w:rsidRDefault="00CA531E" w:rsidP="00364128">
      <w:pPr>
        <w:rPr>
          <w:sz w:val="22"/>
          <w:lang w:val="es-ES_tradnl"/>
        </w:rPr>
      </w:pPr>
      <w:r w:rsidRPr="001152C4">
        <w:rPr>
          <w:sz w:val="22"/>
          <w:lang w:val="es-ES_tradnl"/>
        </w:rPr>
        <w:t xml:space="preserve">Puede observarse un impacto negativo en la competencia por la fijación de precios mínimos </w:t>
      </w:r>
      <w:r w:rsidR="00364128" w:rsidRPr="001152C4">
        <w:rPr>
          <w:sz w:val="22"/>
          <w:lang w:val="es-ES_tradnl"/>
        </w:rPr>
        <w:t xml:space="preserve">si el precio mínimo fijado en la regulación está por encima del precio resultante por el libre juego de la oferta y la demanda, </w:t>
      </w:r>
      <w:r w:rsidRPr="001152C4">
        <w:rPr>
          <w:sz w:val="22"/>
          <w:lang w:val="es-ES_tradnl"/>
        </w:rPr>
        <w:t xml:space="preserve">ya que </w:t>
      </w:r>
      <w:r w:rsidR="00364128" w:rsidRPr="001152C4">
        <w:rPr>
          <w:sz w:val="22"/>
          <w:lang w:val="es-ES_tradnl"/>
        </w:rPr>
        <w:t>aquellos agentes económicos que puedan ofrecer el servicio a</w:t>
      </w:r>
      <w:r w:rsidRPr="001152C4">
        <w:rPr>
          <w:sz w:val="22"/>
          <w:lang w:val="es-ES_tradnl"/>
        </w:rPr>
        <w:t xml:space="preserve"> un </w:t>
      </w:r>
      <w:r w:rsidR="00364128" w:rsidRPr="001152C4">
        <w:rPr>
          <w:sz w:val="22"/>
          <w:lang w:val="es-ES_tradnl"/>
        </w:rPr>
        <w:t xml:space="preserve">precio </w:t>
      </w:r>
      <w:r w:rsidRPr="001152C4">
        <w:rPr>
          <w:sz w:val="22"/>
          <w:lang w:val="es-ES_tradnl"/>
        </w:rPr>
        <w:t>menor</w:t>
      </w:r>
      <w:r w:rsidR="00364128" w:rsidRPr="001152C4">
        <w:rPr>
          <w:sz w:val="22"/>
          <w:lang w:val="es-ES_tradnl"/>
        </w:rPr>
        <w:t xml:space="preserve"> </w:t>
      </w:r>
      <w:r w:rsidRPr="001152C4">
        <w:rPr>
          <w:sz w:val="22"/>
          <w:lang w:val="es-ES_tradnl"/>
        </w:rPr>
        <w:t xml:space="preserve">subirán sus precios y </w:t>
      </w:r>
      <w:r w:rsidR="00364128" w:rsidRPr="001152C4">
        <w:rPr>
          <w:sz w:val="22"/>
          <w:lang w:val="es-ES_tradnl"/>
        </w:rPr>
        <w:t xml:space="preserve">obtendrán, con la </w:t>
      </w:r>
      <w:r w:rsidRPr="001152C4">
        <w:rPr>
          <w:sz w:val="22"/>
          <w:lang w:val="es-ES_tradnl"/>
        </w:rPr>
        <w:t xml:space="preserve">ayuda de la </w:t>
      </w:r>
      <w:r w:rsidR="00364128" w:rsidRPr="001152C4">
        <w:rPr>
          <w:sz w:val="22"/>
          <w:lang w:val="es-ES_tradnl"/>
        </w:rPr>
        <w:t xml:space="preserve">regulación, una ventaja mayor con igual inversión, con perjuicio a los consumidores. En contrapartida, esto conlleva una expectativa de que los proveedores no puedan ganar participación del mercado por la imposibilidad regulatoria de ofrecer las mejores condiciones posibles en el mercado. </w:t>
      </w:r>
    </w:p>
    <w:p w14:paraId="0AD6A342" w14:textId="0B352E3F" w:rsidR="00CA531E" w:rsidRPr="001152C4" w:rsidRDefault="00CA531E" w:rsidP="00CA531E">
      <w:pPr>
        <w:pStyle w:val="Ttulo4"/>
        <w:rPr>
          <w:rStyle w:val="markedcontent"/>
          <w:sz w:val="22"/>
        </w:rPr>
      </w:pPr>
      <w:r w:rsidRPr="001152C4">
        <w:rPr>
          <w:rStyle w:val="markedcontent"/>
          <w:sz w:val="22"/>
        </w:rPr>
        <w:t>Precios máximos</w:t>
      </w:r>
    </w:p>
    <w:p w14:paraId="5233AC28" w14:textId="1D30645A" w:rsidR="00CA531E" w:rsidRPr="001152C4" w:rsidRDefault="00CA531E" w:rsidP="009D4382">
      <w:pPr>
        <w:rPr>
          <w:rStyle w:val="markedcontent"/>
          <w:sz w:val="22"/>
        </w:rPr>
      </w:pPr>
      <w:r w:rsidRPr="001152C4">
        <w:rPr>
          <w:rStyle w:val="markedcontent"/>
          <w:sz w:val="22"/>
        </w:rPr>
        <w:t xml:space="preserve">Los precios máximos se imponen frecuentemente </w:t>
      </w:r>
      <w:r w:rsidR="009D4382" w:rsidRPr="001152C4">
        <w:rPr>
          <w:rStyle w:val="markedcontent"/>
          <w:i/>
          <w:iCs/>
          <w:sz w:val="22"/>
        </w:rPr>
        <w:t>con la intención de proteger al consumidor en mercados con poca o nula competencia (por ejemplo, en el caso de un monopolio natural)</w:t>
      </w:r>
      <w:r w:rsidR="009D4382" w:rsidRPr="001152C4">
        <w:rPr>
          <w:rStyle w:val="Refdenotaalpie"/>
          <w:sz w:val="22"/>
        </w:rPr>
        <w:footnoteReference w:id="51"/>
      </w:r>
      <w:r w:rsidR="009D4382" w:rsidRPr="001152C4">
        <w:rPr>
          <w:rStyle w:val="markedcontent"/>
          <w:sz w:val="22"/>
        </w:rPr>
        <w:t xml:space="preserve">. </w:t>
      </w:r>
    </w:p>
    <w:p w14:paraId="510946A2" w14:textId="42EE05B2" w:rsidR="00D87E4D" w:rsidRPr="001152C4" w:rsidRDefault="00D87E4D" w:rsidP="00D87E4D">
      <w:pPr>
        <w:rPr>
          <w:sz w:val="22"/>
          <w:lang w:val="es-ES_tradnl"/>
        </w:rPr>
      </w:pPr>
      <w:r w:rsidRPr="001152C4">
        <w:rPr>
          <w:rStyle w:val="markedcontent"/>
          <w:sz w:val="22"/>
        </w:rPr>
        <w:t>En general</w:t>
      </w:r>
      <w:r w:rsidR="00CA531E" w:rsidRPr="001152C4">
        <w:rPr>
          <w:rStyle w:val="markedcontent"/>
          <w:sz w:val="22"/>
        </w:rPr>
        <w:t xml:space="preserve">, </w:t>
      </w:r>
      <w:r w:rsidRPr="001152C4">
        <w:rPr>
          <w:rStyle w:val="markedcontent"/>
          <w:sz w:val="22"/>
        </w:rPr>
        <w:t>estas normativas</w:t>
      </w:r>
      <w:r w:rsidR="00CA531E" w:rsidRPr="001152C4">
        <w:rPr>
          <w:rStyle w:val="markedcontent"/>
          <w:sz w:val="22"/>
        </w:rPr>
        <w:t xml:space="preserve"> </w:t>
      </w:r>
      <w:r w:rsidRPr="001152C4">
        <w:rPr>
          <w:sz w:val="22"/>
          <w:lang w:val="es-ES_tradnl"/>
        </w:rPr>
        <w:t xml:space="preserve">generan el peligro de que aquellos agentes económicos que, por sus circunstancias económicas, solo puedan ofrecer los productos con precios por encima del precio máximo, se vean </w:t>
      </w:r>
      <w:r w:rsidR="004C78ED" w:rsidRPr="001152C4">
        <w:rPr>
          <w:sz w:val="22"/>
          <w:lang w:val="es-ES_tradnl"/>
        </w:rPr>
        <w:t>forzad</w:t>
      </w:r>
      <w:r w:rsidR="004C78ED">
        <w:rPr>
          <w:sz w:val="22"/>
          <w:lang w:val="es-ES_tradnl"/>
        </w:rPr>
        <w:t>o</w:t>
      </w:r>
      <w:r w:rsidR="004C78ED" w:rsidRPr="001152C4">
        <w:rPr>
          <w:sz w:val="22"/>
          <w:lang w:val="es-ES_tradnl"/>
        </w:rPr>
        <w:t xml:space="preserve">s </w:t>
      </w:r>
      <w:r w:rsidRPr="001152C4">
        <w:rPr>
          <w:sz w:val="22"/>
          <w:lang w:val="es-ES_tradnl"/>
        </w:rPr>
        <w:t>a recortar costos de producción</w:t>
      </w:r>
      <w:r w:rsidR="00306CE3" w:rsidRPr="001152C4">
        <w:rPr>
          <w:sz w:val="22"/>
          <w:lang w:val="es-ES_tradnl"/>
        </w:rPr>
        <w:t xml:space="preserve">, reducir la calidad </w:t>
      </w:r>
      <w:r w:rsidRPr="001152C4">
        <w:rPr>
          <w:sz w:val="22"/>
          <w:lang w:val="es-ES_tradnl"/>
        </w:rPr>
        <w:t xml:space="preserve">e </w:t>
      </w:r>
      <w:r w:rsidR="00306CE3" w:rsidRPr="001152C4">
        <w:rPr>
          <w:sz w:val="22"/>
          <w:lang w:val="es-ES_tradnl"/>
        </w:rPr>
        <w:t xml:space="preserve">inversión en </w:t>
      </w:r>
      <w:r w:rsidRPr="001152C4">
        <w:rPr>
          <w:sz w:val="22"/>
          <w:lang w:val="es-ES_tradnl"/>
        </w:rPr>
        <w:t xml:space="preserve">innovación o bien abandonar el mercado o mover la inversión a lugares donde no rijan las restricciones de precio. Esta situación podría desembocar en un desabastecimiento de productos. </w:t>
      </w:r>
    </w:p>
    <w:p w14:paraId="643557D4" w14:textId="2C2E6D18" w:rsidR="00364128" w:rsidRPr="001152C4" w:rsidRDefault="00D87E4D" w:rsidP="006B3D85">
      <w:pPr>
        <w:rPr>
          <w:rStyle w:val="markedcontent"/>
          <w:sz w:val="22"/>
        </w:rPr>
      </w:pPr>
      <w:r w:rsidRPr="001152C4">
        <w:rPr>
          <w:sz w:val="22"/>
          <w:lang w:val="es-ES_tradnl"/>
        </w:rPr>
        <w:t xml:space="preserve">Por otro lado, aquellos que puedan ofrecer precios menores al precio máximo podrían tener el incentivo de elevar sus precios al tope permitido por la regulación, perjudicando a los consumidores. Inclusive, podría fomentarse un ambiente en que </w:t>
      </w:r>
      <w:r w:rsidR="00364128" w:rsidRPr="001152C4">
        <w:rPr>
          <w:rStyle w:val="markedcontent"/>
          <w:i/>
          <w:iCs/>
          <w:sz w:val="22"/>
        </w:rPr>
        <w:t>los</w:t>
      </w:r>
      <w:r w:rsidRPr="001152C4">
        <w:rPr>
          <w:rStyle w:val="markedcontent"/>
          <w:i/>
          <w:iCs/>
          <w:sz w:val="22"/>
        </w:rPr>
        <w:t xml:space="preserve"> </w:t>
      </w:r>
      <w:r w:rsidR="00364128" w:rsidRPr="001152C4">
        <w:rPr>
          <w:rStyle w:val="markedcontent"/>
          <w:i/>
          <w:iCs/>
          <w:sz w:val="22"/>
        </w:rPr>
        <w:t>proveedores podrían coordinar sus precios alrededor del que haya sido impuesto</w:t>
      </w:r>
      <w:r w:rsidR="00364128" w:rsidRPr="001152C4">
        <w:rPr>
          <w:i/>
          <w:iCs/>
          <w:sz w:val="22"/>
        </w:rPr>
        <w:br/>
      </w:r>
      <w:r w:rsidR="00364128" w:rsidRPr="001152C4">
        <w:rPr>
          <w:rStyle w:val="markedcontent"/>
          <w:i/>
          <w:iCs/>
          <w:sz w:val="22"/>
        </w:rPr>
        <w:t>como máximo</w:t>
      </w:r>
      <w:r w:rsidRPr="001152C4">
        <w:rPr>
          <w:rStyle w:val="Refdenotaalpie"/>
          <w:i/>
          <w:iCs/>
          <w:sz w:val="22"/>
        </w:rPr>
        <w:footnoteReference w:id="52"/>
      </w:r>
      <w:r w:rsidR="00364128" w:rsidRPr="001152C4">
        <w:rPr>
          <w:rStyle w:val="markedcontent"/>
          <w:sz w:val="22"/>
        </w:rPr>
        <w:t>.</w:t>
      </w:r>
    </w:p>
    <w:p w14:paraId="2096A722" w14:textId="77777777" w:rsidR="00B80BE1" w:rsidRPr="001152C4" w:rsidRDefault="00B80BE1" w:rsidP="00B80BE1">
      <w:pPr>
        <w:pStyle w:val="Ttulo4"/>
        <w:rPr>
          <w:sz w:val="22"/>
        </w:rPr>
      </w:pPr>
      <w:r w:rsidRPr="001152C4">
        <w:rPr>
          <w:sz w:val="22"/>
        </w:rPr>
        <w:t>Precios referenciales</w:t>
      </w:r>
    </w:p>
    <w:p w14:paraId="4E967999" w14:textId="05A45ABE" w:rsidR="00B80BE1" w:rsidRPr="001152C4" w:rsidRDefault="00B80BE1" w:rsidP="00B80BE1">
      <w:pPr>
        <w:rPr>
          <w:sz w:val="22"/>
        </w:rPr>
      </w:pPr>
      <w:r w:rsidRPr="001152C4">
        <w:rPr>
          <w:sz w:val="22"/>
        </w:rPr>
        <w:t xml:space="preserve">La fijación de precios referenciales también puede distorsionar la competencia, debido a que podría influir en la conducta </w:t>
      </w:r>
      <w:r w:rsidR="00FA7B67">
        <w:rPr>
          <w:sz w:val="22"/>
        </w:rPr>
        <w:t xml:space="preserve">de </w:t>
      </w:r>
      <w:r w:rsidRPr="001152C4">
        <w:rPr>
          <w:sz w:val="22"/>
        </w:rPr>
        <w:t xml:space="preserve">los actores en el mercado, otorgándole señales a los competidores de lo que la norma considera </w:t>
      </w:r>
      <w:r w:rsidRPr="001152C4">
        <w:rPr>
          <w:i/>
          <w:iCs/>
          <w:sz w:val="22"/>
        </w:rPr>
        <w:t xml:space="preserve">aceptable </w:t>
      </w:r>
      <w:r w:rsidRPr="001152C4">
        <w:rPr>
          <w:sz w:val="22"/>
        </w:rPr>
        <w:t xml:space="preserve">en materia de precios. </w:t>
      </w:r>
    </w:p>
    <w:p w14:paraId="09582698" w14:textId="2BADC3B7" w:rsidR="00B80BE1" w:rsidRPr="001152C4" w:rsidRDefault="00B80BE1" w:rsidP="00B80BE1">
      <w:pPr>
        <w:rPr>
          <w:sz w:val="22"/>
        </w:rPr>
      </w:pPr>
      <w:r w:rsidRPr="001152C4">
        <w:rPr>
          <w:sz w:val="22"/>
        </w:rPr>
        <w:lastRenderedPageBreak/>
        <w:t xml:space="preserve">El establecimiento y la publicidad de precios referenciales podría fomentar un ambiente de coordinación entre competidores en el mercado, cometiendo con ello prácticas anticompetitivas facilitadas por la intervención regulatoria. </w:t>
      </w:r>
    </w:p>
    <w:p w14:paraId="444E9EF4" w14:textId="23B33BED" w:rsidR="00FC621C" w:rsidRPr="001152C4" w:rsidRDefault="00FC621C" w:rsidP="00FC621C">
      <w:pPr>
        <w:pStyle w:val="Ttulo4"/>
        <w:rPr>
          <w:sz w:val="22"/>
        </w:rPr>
      </w:pPr>
      <w:r w:rsidRPr="001152C4">
        <w:rPr>
          <w:sz w:val="22"/>
        </w:rPr>
        <w:t>Precio fijo</w:t>
      </w:r>
    </w:p>
    <w:p w14:paraId="0F9836ED" w14:textId="5943D55F" w:rsidR="00926301" w:rsidRPr="001152C4" w:rsidRDefault="00FC621C" w:rsidP="00D87E4D">
      <w:pPr>
        <w:rPr>
          <w:sz w:val="22"/>
        </w:rPr>
      </w:pPr>
      <w:r w:rsidRPr="001152C4">
        <w:rPr>
          <w:sz w:val="22"/>
        </w:rPr>
        <w:t xml:space="preserve">El establecimiento de precios fijos </w:t>
      </w:r>
      <w:r w:rsidR="00926301" w:rsidRPr="001152C4">
        <w:rPr>
          <w:sz w:val="22"/>
        </w:rPr>
        <w:t xml:space="preserve">también afecta la capacidad de competir, puesto que unifica el factor precio en distintos proveedores de servicios, que pueden incurrir en costos distintos. Esta figura obliga a los proveedores a ajustarse al precio definido por la normativa, desalentando la innovación en sus procesos más allá de la necesaria para adecuarse al parámetro fijado por la regulación. </w:t>
      </w:r>
    </w:p>
    <w:p w14:paraId="2B0BC1CC" w14:textId="4295E3E6" w:rsidR="00926301" w:rsidRPr="001152C4" w:rsidRDefault="00926301" w:rsidP="00D87E4D">
      <w:pPr>
        <w:rPr>
          <w:sz w:val="22"/>
        </w:rPr>
      </w:pPr>
      <w:r w:rsidRPr="001152C4">
        <w:rPr>
          <w:sz w:val="22"/>
        </w:rPr>
        <w:t xml:space="preserve">Como señaló la CONACOM en una de sus opiniones, la fijación estatal de un precio para un producto </w:t>
      </w:r>
      <w:r w:rsidRPr="001152C4">
        <w:rPr>
          <w:i/>
          <w:iCs/>
          <w:sz w:val="22"/>
        </w:rPr>
        <w:t>menoscaba la posibilidad de la competencia en el mercado, distorsionando el modelo de economía de libre mercado subordina</w:t>
      </w:r>
      <w:r w:rsidR="00E959C4" w:rsidRPr="001152C4">
        <w:rPr>
          <w:i/>
          <w:iCs/>
          <w:sz w:val="22"/>
        </w:rPr>
        <w:t>n</w:t>
      </w:r>
      <w:r w:rsidRPr="001152C4">
        <w:rPr>
          <w:i/>
          <w:iCs/>
          <w:sz w:val="22"/>
        </w:rPr>
        <w:t xml:space="preserve">do el reconocimiento de los costos y el margen de </w:t>
      </w:r>
      <w:r w:rsidRPr="00300F06">
        <w:rPr>
          <w:i/>
          <w:iCs/>
          <w:sz w:val="22"/>
        </w:rPr>
        <w:t>utilidad a la intervención regulatoria del Estado</w:t>
      </w:r>
      <w:r w:rsidRPr="00300F06">
        <w:rPr>
          <w:rStyle w:val="Refdenotaalpie"/>
          <w:sz w:val="22"/>
        </w:rPr>
        <w:footnoteReference w:id="53"/>
      </w:r>
      <w:r w:rsidRPr="00300F06">
        <w:rPr>
          <w:sz w:val="22"/>
        </w:rPr>
        <w:t>.</w:t>
      </w:r>
      <w:r w:rsidRPr="001152C4">
        <w:rPr>
          <w:sz w:val="22"/>
        </w:rPr>
        <w:t xml:space="preserve"> </w:t>
      </w:r>
    </w:p>
    <w:p w14:paraId="4626C812" w14:textId="5278C443" w:rsidR="00B80BE1" w:rsidRPr="001152C4" w:rsidRDefault="00B80BE1" w:rsidP="00BD08A1">
      <w:pPr>
        <w:pStyle w:val="Ttulo3"/>
      </w:pPr>
      <w:bookmarkStart w:id="31" w:name="_Toc160698848"/>
      <w:r w:rsidRPr="001152C4">
        <w:t>Normas de calidad</w:t>
      </w:r>
      <w:bookmarkEnd w:id="31"/>
    </w:p>
    <w:p w14:paraId="4CBB7DE4" w14:textId="5FE7BD0E" w:rsidR="0084238E" w:rsidRDefault="00B80BE1" w:rsidP="00B80BE1">
      <w:pPr>
        <w:rPr>
          <w:sz w:val="22"/>
          <w:lang w:val="es-ES_tradnl"/>
        </w:rPr>
      </w:pPr>
      <w:r w:rsidRPr="001152C4">
        <w:rPr>
          <w:sz w:val="22"/>
          <w:lang w:val="es-ES_tradnl"/>
        </w:rPr>
        <w:t xml:space="preserve">El establecimiento mediante una regulación de normas mínimas de calidad </w:t>
      </w:r>
      <w:r w:rsidR="0084238E" w:rsidRPr="001152C4">
        <w:rPr>
          <w:sz w:val="22"/>
          <w:lang w:val="es-ES_tradnl"/>
        </w:rPr>
        <w:t xml:space="preserve">de los productos y servicios normalmente busca garantizar a los consumidores un estándar de lo esperado al adquirir un bien o contratar un servicio. Sin embargo, en ocasiones, las regulaciones establecen normas muy elevadas que pueden ser consideradas innecesarias por muchos consumidores e impiden a los proveedores atender a dicha demanda. </w:t>
      </w:r>
      <w:r w:rsidR="006576EB">
        <w:rPr>
          <w:sz w:val="22"/>
          <w:lang w:val="es-ES_tradnl"/>
        </w:rPr>
        <w:t>Ello también implicaría la posibilidad de exclusión de consumidores del mercado por la demanda insatisfecha</w:t>
      </w:r>
      <w:r w:rsidR="00897E45">
        <w:rPr>
          <w:rStyle w:val="Refdenotaalpie"/>
          <w:sz w:val="22"/>
          <w:lang w:val="es-ES_tradnl"/>
        </w:rPr>
        <w:footnoteReference w:id="54"/>
      </w:r>
      <w:r w:rsidR="006576EB">
        <w:rPr>
          <w:sz w:val="22"/>
          <w:lang w:val="es-ES_tradnl"/>
        </w:rPr>
        <w:t xml:space="preserve">. </w:t>
      </w:r>
    </w:p>
    <w:p w14:paraId="4CA45CCB" w14:textId="2D2DD5C2" w:rsidR="00897E45" w:rsidRPr="001152C4" w:rsidRDefault="00897E45" w:rsidP="00B80BE1">
      <w:pPr>
        <w:rPr>
          <w:sz w:val="22"/>
          <w:lang w:val="es-ES_tradnl"/>
        </w:rPr>
      </w:pPr>
      <w:r>
        <w:rPr>
          <w:sz w:val="22"/>
          <w:lang w:val="es-ES_tradnl"/>
        </w:rPr>
        <w:t>Como señala la OCDE, la exigencia de ciertas tecnologías o de ciertos parámetros para productos o servicios que van más allá de lo estrictamente necesario para la satisfacción de los compradores puede ser reemplazada por normas que exijan la revelación de la información adecuada o por medidas de apoyo o asistencia temporal que permitan a pequeños proveedores tener más posibilidades de cumplir con los requisitos</w:t>
      </w:r>
      <w:r>
        <w:rPr>
          <w:rStyle w:val="Refdenotaalpie"/>
          <w:sz w:val="22"/>
          <w:lang w:val="es-ES_tradnl"/>
        </w:rPr>
        <w:footnoteReference w:id="55"/>
      </w:r>
      <w:r>
        <w:rPr>
          <w:sz w:val="22"/>
          <w:lang w:val="es-ES_tradnl"/>
        </w:rPr>
        <w:t xml:space="preserve">. </w:t>
      </w:r>
    </w:p>
    <w:p w14:paraId="324923EA" w14:textId="05BB818C" w:rsidR="007218CE" w:rsidRPr="001152C4" w:rsidRDefault="007218CE" w:rsidP="00BD08A1">
      <w:pPr>
        <w:pStyle w:val="Ttulo3"/>
      </w:pPr>
      <w:bookmarkStart w:id="32" w:name="_Toc160698849"/>
      <w:r w:rsidRPr="001152C4">
        <w:t>Ventajas o preferencias</w:t>
      </w:r>
      <w:bookmarkEnd w:id="32"/>
    </w:p>
    <w:p w14:paraId="3252359C" w14:textId="67852C14" w:rsidR="006F5589" w:rsidRPr="001152C4" w:rsidRDefault="00EE345B" w:rsidP="00EE345B">
      <w:pPr>
        <w:rPr>
          <w:sz w:val="22"/>
          <w:lang w:val="es-ES_tradnl"/>
        </w:rPr>
      </w:pPr>
      <w:r w:rsidRPr="001152C4">
        <w:rPr>
          <w:sz w:val="22"/>
          <w:lang w:val="es-ES_tradnl"/>
        </w:rPr>
        <w:t xml:space="preserve">Las normativas deben, en principio, establecer normativas que dispongan el mismo trato a los </w:t>
      </w:r>
      <w:r w:rsidRPr="001152C4">
        <w:rPr>
          <w:sz w:val="22"/>
          <w:lang w:val="es-ES_tradnl"/>
        </w:rPr>
        <w:lastRenderedPageBreak/>
        <w:t xml:space="preserve">competidores en el mercado. </w:t>
      </w:r>
      <w:r w:rsidR="006F5589" w:rsidRPr="001152C4">
        <w:rPr>
          <w:sz w:val="22"/>
          <w:lang w:val="es-ES_tradnl"/>
        </w:rPr>
        <w:t xml:space="preserve">En ocasiones, sin embargo, rigen regulaciones que otorgan un trato preferencial a ciertos proveedores. Algunas de estas regulaciones están vinculadas al trato dispensado a empresas públicas, aunque también pueden observarse ventajas otorgadas bajo otros criterios. </w:t>
      </w:r>
    </w:p>
    <w:p w14:paraId="66A6468A" w14:textId="44E19050" w:rsidR="006F5589" w:rsidRPr="001152C4" w:rsidRDefault="006F5589" w:rsidP="00EE345B">
      <w:pPr>
        <w:rPr>
          <w:sz w:val="22"/>
          <w:lang w:val="es-ES_tradnl"/>
        </w:rPr>
      </w:pPr>
      <w:r w:rsidRPr="001152C4">
        <w:rPr>
          <w:sz w:val="22"/>
          <w:lang w:val="es-ES_tradnl"/>
        </w:rPr>
        <w:t xml:space="preserve">Otorgar ventajas o preferencias por regulación reduce la capacidad de competir porque eleva los costos de quienes no reciben el trato preferencial, reduce el incentivo para la innovación de parte de los beneficiarios y, en general, disminuye la intensidad competitiva en el mercado. </w:t>
      </w:r>
    </w:p>
    <w:p w14:paraId="1C6A18BE" w14:textId="5F6D164F" w:rsidR="004454E2" w:rsidRPr="001152C4" w:rsidRDefault="004454E2" w:rsidP="00BD08A1">
      <w:pPr>
        <w:pStyle w:val="Ttulo3"/>
      </w:pPr>
      <w:bookmarkStart w:id="33" w:name="_Toc160698850"/>
      <w:r w:rsidRPr="001152C4">
        <w:t>Reducción de capacidad de innovar</w:t>
      </w:r>
      <w:bookmarkEnd w:id="33"/>
    </w:p>
    <w:p w14:paraId="61C20BEC" w14:textId="1E871E6F" w:rsidR="004454E2" w:rsidRPr="001152C4" w:rsidRDefault="004454E2" w:rsidP="004454E2">
      <w:pPr>
        <w:rPr>
          <w:sz w:val="22"/>
          <w:lang w:val="es-ES_tradnl"/>
        </w:rPr>
      </w:pPr>
      <w:r w:rsidRPr="001152C4">
        <w:rPr>
          <w:sz w:val="22"/>
          <w:lang w:val="es-ES_tradnl"/>
        </w:rPr>
        <w:t>La regulación puede restringir la capacidad de los oferentes para desarrollar y comercializar nuevos productos, estableciendo estándares que pueden no ser inherentes a la prestación del servicio o la oferta del bien. Normalmente, estas normas son impuestas por cuestiones de seguridad</w:t>
      </w:r>
      <w:r w:rsidRPr="001152C4">
        <w:rPr>
          <w:rStyle w:val="Refdenotaalpie"/>
          <w:sz w:val="22"/>
          <w:lang w:val="es-ES_tradnl"/>
        </w:rPr>
        <w:footnoteReference w:id="56"/>
      </w:r>
      <w:r w:rsidR="00897E45">
        <w:rPr>
          <w:sz w:val="22"/>
          <w:lang w:val="es-ES_tradnl"/>
        </w:rPr>
        <w:t xml:space="preserve"> como, por ejemplo, la </w:t>
      </w:r>
      <w:r w:rsidR="00E2445B">
        <w:rPr>
          <w:sz w:val="22"/>
          <w:lang w:val="es-ES_tradnl"/>
        </w:rPr>
        <w:t>exigencia</w:t>
      </w:r>
      <w:r w:rsidR="00897E45">
        <w:rPr>
          <w:sz w:val="22"/>
          <w:lang w:val="es-ES_tradnl"/>
        </w:rPr>
        <w:t xml:space="preserve"> de </w:t>
      </w:r>
      <w:r w:rsidR="00E2445B">
        <w:rPr>
          <w:sz w:val="22"/>
          <w:lang w:val="es-ES_tradnl"/>
        </w:rPr>
        <w:t xml:space="preserve">contar con </w:t>
      </w:r>
      <w:r w:rsidR="00897E45">
        <w:rPr>
          <w:sz w:val="22"/>
          <w:lang w:val="es-ES_tradnl"/>
        </w:rPr>
        <w:t>una oficina en un distrito para garantía de atención al cliente, aunque esta pueda proveerse efectivamente a distancia</w:t>
      </w:r>
      <w:r w:rsidR="00E2445B">
        <w:rPr>
          <w:rStyle w:val="Refdenotaalpie"/>
          <w:sz w:val="22"/>
          <w:lang w:val="es-ES_tradnl"/>
        </w:rPr>
        <w:footnoteReference w:id="57"/>
      </w:r>
      <w:r w:rsidR="00E2445B">
        <w:rPr>
          <w:sz w:val="22"/>
          <w:lang w:val="es-ES_tradnl"/>
        </w:rPr>
        <w:t xml:space="preserve"> o ciertos parámetros en la forma de fabricación o venta de un producto que impiden la aplicación de nuevos métodos o la oferta de productos alternativos o complementarios</w:t>
      </w:r>
      <w:r w:rsidR="00E2445B" w:rsidRPr="001152C4">
        <w:rPr>
          <w:rStyle w:val="Refdenotaalpie"/>
          <w:i/>
          <w:iCs/>
          <w:sz w:val="22"/>
          <w:lang w:val="es-ES_tradnl"/>
        </w:rPr>
        <w:footnoteReference w:id="58"/>
      </w:r>
      <w:r w:rsidRPr="001152C4">
        <w:rPr>
          <w:sz w:val="22"/>
          <w:lang w:val="es-ES_tradnl"/>
        </w:rPr>
        <w:t xml:space="preserve">. </w:t>
      </w:r>
    </w:p>
    <w:p w14:paraId="76FDC158" w14:textId="36EEDE3F" w:rsidR="004454E2" w:rsidRPr="001152C4" w:rsidRDefault="004454E2" w:rsidP="004454E2">
      <w:pPr>
        <w:rPr>
          <w:sz w:val="22"/>
          <w:lang w:val="es-ES_tradnl"/>
        </w:rPr>
      </w:pPr>
      <w:r w:rsidRPr="001152C4">
        <w:rPr>
          <w:sz w:val="22"/>
          <w:lang w:val="es-ES_tradnl"/>
        </w:rPr>
        <w:t xml:space="preserve">El efecto de este tipo de normas es la reducción de la capacidad de los proveedores </w:t>
      </w:r>
      <w:r w:rsidRPr="001152C4">
        <w:rPr>
          <w:i/>
          <w:iCs/>
          <w:sz w:val="22"/>
          <w:lang w:val="es-ES_tradnl"/>
        </w:rPr>
        <w:t>para distinguirse frente al consumidor y competir por sus preferencias</w:t>
      </w:r>
      <w:r w:rsidRPr="001152C4">
        <w:rPr>
          <w:rStyle w:val="Refdenotaalpie"/>
          <w:i/>
          <w:iCs/>
          <w:sz w:val="22"/>
          <w:lang w:val="es-ES_tradnl"/>
        </w:rPr>
        <w:footnoteReference w:id="59"/>
      </w:r>
      <w:r w:rsidRPr="001152C4">
        <w:rPr>
          <w:sz w:val="22"/>
          <w:lang w:val="es-ES_tradnl"/>
        </w:rPr>
        <w:t>.</w:t>
      </w:r>
      <w:r w:rsidR="00897E45">
        <w:rPr>
          <w:sz w:val="22"/>
          <w:lang w:val="es-ES_tradnl"/>
        </w:rPr>
        <w:t xml:space="preserve"> </w:t>
      </w:r>
    </w:p>
    <w:p w14:paraId="28CFF0A2" w14:textId="5CB54C9E" w:rsidR="0084238E" w:rsidRPr="001152C4" w:rsidRDefault="000D4EFB" w:rsidP="00BD08A1">
      <w:pPr>
        <w:pStyle w:val="Ttulo3"/>
      </w:pPr>
      <w:bookmarkStart w:id="34" w:name="_Toc160698851"/>
      <w:r w:rsidRPr="001152C4">
        <w:t>Limitación de libertad de promoción</w:t>
      </w:r>
      <w:bookmarkEnd w:id="34"/>
    </w:p>
    <w:p w14:paraId="103B30C4" w14:textId="6545E1AA" w:rsidR="002A4ADE" w:rsidRPr="001152C4" w:rsidRDefault="000D4EFB" w:rsidP="000D4EFB">
      <w:pPr>
        <w:rPr>
          <w:sz w:val="22"/>
          <w:lang w:val="es-ES_tradnl"/>
        </w:rPr>
      </w:pPr>
      <w:r w:rsidRPr="001152C4">
        <w:rPr>
          <w:sz w:val="22"/>
          <w:lang w:val="es-ES_tradnl"/>
        </w:rPr>
        <w:t xml:space="preserve">En ocasiones, las normativas establecen reglas </w:t>
      </w:r>
      <w:r w:rsidR="002A4ADE" w:rsidRPr="001152C4">
        <w:rPr>
          <w:sz w:val="22"/>
          <w:lang w:val="es-ES_tradnl"/>
        </w:rPr>
        <w:t>que afectan la capacidad de promocionar sus actividades. Estas normativas generalmente están orientadas a la protección de sectores vulnerables y a la disuasión del consumo de ciertos productos o servicios</w:t>
      </w:r>
      <w:r w:rsidR="00FE0713" w:rsidRPr="001152C4">
        <w:rPr>
          <w:sz w:val="22"/>
          <w:lang w:val="es-ES_tradnl"/>
        </w:rPr>
        <w:t xml:space="preserve"> por razones de interés </w:t>
      </w:r>
      <w:r w:rsidR="00AA6601" w:rsidRPr="001152C4">
        <w:rPr>
          <w:sz w:val="22"/>
          <w:lang w:val="es-ES_tradnl"/>
        </w:rPr>
        <w:t>general</w:t>
      </w:r>
      <w:r w:rsidR="00FE0713" w:rsidRPr="001152C4">
        <w:rPr>
          <w:sz w:val="22"/>
          <w:lang w:val="es-ES_tradnl"/>
        </w:rPr>
        <w:t>. También buscan evitar la publicidad falsa o engañosa</w:t>
      </w:r>
      <w:r w:rsidR="00FE0713" w:rsidRPr="001152C4">
        <w:rPr>
          <w:rStyle w:val="Refdenotaalpie"/>
          <w:sz w:val="22"/>
          <w:lang w:val="es-ES_tradnl"/>
        </w:rPr>
        <w:footnoteReference w:id="60"/>
      </w:r>
      <w:r w:rsidR="00FE0713" w:rsidRPr="001152C4">
        <w:rPr>
          <w:sz w:val="22"/>
          <w:lang w:val="es-ES_tradnl"/>
        </w:rPr>
        <w:t xml:space="preserve">. </w:t>
      </w:r>
    </w:p>
    <w:p w14:paraId="4DE249EE" w14:textId="6EFBC22D" w:rsidR="00FE0713" w:rsidRPr="001152C4" w:rsidRDefault="00FE0713" w:rsidP="000D4EFB">
      <w:pPr>
        <w:rPr>
          <w:sz w:val="22"/>
          <w:lang w:val="es-ES_tradnl"/>
        </w:rPr>
      </w:pPr>
      <w:r w:rsidRPr="001152C4">
        <w:rPr>
          <w:sz w:val="22"/>
          <w:lang w:val="es-ES_tradnl"/>
        </w:rPr>
        <w:t xml:space="preserve">Estas barreras podrían impedir a los proveedores potenciar su participación en el mercado. Como en todos los demás casos, de ser necesarias, es importante que las medidas sean </w:t>
      </w:r>
      <w:r w:rsidRPr="001152C4">
        <w:rPr>
          <w:sz w:val="22"/>
          <w:lang w:val="es-ES_tradnl"/>
        </w:rPr>
        <w:lastRenderedPageBreak/>
        <w:t xml:space="preserve">proporcionales a los objetivos que se pretenda lograr. </w:t>
      </w:r>
    </w:p>
    <w:p w14:paraId="19B7E797" w14:textId="3B3368CB" w:rsidR="002A4ADE" w:rsidRPr="001152C4" w:rsidRDefault="004454E2" w:rsidP="00BD08A1">
      <w:pPr>
        <w:pStyle w:val="Ttulo2"/>
      </w:pPr>
      <w:bookmarkStart w:id="35" w:name="_Toc160698852"/>
      <w:r w:rsidRPr="001152C4">
        <w:t>Normas que reducen el incentivo para competir</w:t>
      </w:r>
      <w:bookmarkEnd w:id="35"/>
    </w:p>
    <w:p w14:paraId="3E480D5C" w14:textId="264B1BDE" w:rsidR="0070758D" w:rsidRPr="001152C4" w:rsidRDefault="0070758D" w:rsidP="0070758D">
      <w:pPr>
        <w:rPr>
          <w:sz w:val="22"/>
          <w:lang w:val="es-ES_tradnl"/>
        </w:rPr>
      </w:pPr>
      <w:r w:rsidRPr="001152C4">
        <w:rPr>
          <w:sz w:val="22"/>
          <w:lang w:val="es-ES_tradnl"/>
        </w:rPr>
        <w:t xml:space="preserve">Algunas normas no tienen el impacto de reducir la cantidad de competidores ni la capacidad competitiva, sino que </w:t>
      </w:r>
      <w:r w:rsidR="00392B22" w:rsidRPr="001152C4">
        <w:rPr>
          <w:sz w:val="22"/>
          <w:lang w:val="es-ES_tradnl"/>
        </w:rPr>
        <w:t xml:space="preserve">generan un ambiente favorable a la comisión de conductas que, en principio, serían anticompetitivas. </w:t>
      </w:r>
    </w:p>
    <w:p w14:paraId="1C4B0EDF" w14:textId="1FCEF121" w:rsidR="00FE0713" w:rsidRPr="000948F1" w:rsidRDefault="0070758D" w:rsidP="00BD08A1">
      <w:pPr>
        <w:pStyle w:val="Ttulo3"/>
      </w:pPr>
      <w:bookmarkStart w:id="36" w:name="_Toc160698853"/>
      <w:r w:rsidRPr="000948F1">
        <w:t>No aplicación de la Ley de Defensa de la Competencia</w:t>
      </w:r>
      <w:bookmarkEnd w:id="36"/>
    </w:p>
    <w:p w14:paraId="6105457E" w14:textId="05C67347" w:rsidR="0070758D" w:rsidRPr="001152C4" w:rsidRDefault="003F5127" w:rsidP="0070758D">
      <w:pPr>
        <w:rPr>
          <w:sz w:val="22"/>
          <w:lang w:val="es-ES_tradnl"/>
        </w:rPr>
      </w:pPr>
      <w:r w:rsidRPr="000948F1">
        <w:rPr>
          <w:sz w:val="22"/>
          <w:lang w:val="es-ES_tradnl"/>
        </w:rPr>
        <w:t>L</w:t>
      </w:r>
      <w:r w:rsidR="0008075E" w:rsidRPr="000948F1">
        <w:rPr>
          <w:sz w:val="22"/>
          <w:lang w:val="es-ES_tradnl"/>
        </w:rPr>
        <w:t xml:space="preserve">a LDC rige para todos los mercados y la CONACOM es la única autoridad de aplicación de </w:t>
      </w:r>
      <w:proofErr w:type="gramStart"/>
      <w:r w:rsidR="0008075E" w:rsidRPr="000948F1">
        <w:rPr>
          <w:sz w:val="22"/>
          <w:lang w:val="es-ES_tradnl"/>
        </w:rPr>
        <w:t>la misma</w:t>
      </w:r>
      <w:proofErr w:type="gramEnd"/>
      <w:r w:rsidR="0008075E" w:rsidRPr="000948F1">
        <w:rPr>
          <w:sz w:val="22"/>
          <w:lang w:val="es-ES_tradnl"/>
        </w:rPr>
        <w:t>. Sin embargo, e</w:t>
      </w:r>
      <w:r w:rsidR="0070758D" w:rsidRPr="000948F1">
        <w:rPr>
          <w:sz w:val="22"/>
          <w:lang w:val="es-ES_tradnl"/>
        </w:rPr>
        <w:t xml:space="preserve">n ocasiones, </w:t>
      </w:r>
      <w:r w:rsidR="0008075E" w:rsidRPr="000948F1">
        <w:rPr>
          <w:sz w:val="22"/>
          <w:lang w:val="es-ES_tradnl"/>
        </w:rPr>
        <w:t xml:space="preserve">los </w:t>
      </w:r>
      <w:r w:rsidR="0070758D" w:rsidRPr="000948F1">
        <w:rPr>
          <w:sz w:val="22"/>
          <w:lang w:val="es-ES_tradnl"/>
        </w:rPr>
        <w:t xml:space="preserve">legisladores </w:t>
      </w:r>
      <w:r w:rsidR="0008075E" w:rsidRPr="000948F1">
        <w:rPr>
          <w:sz w:val="22"/>
          <w:lang w:val="es-ES_tradnl"/>
        </w:rPr>
        <w:t xml:space="preserve">toman decisiones que pueden implicar la </w:t>
      </w:r>
      <w:r w:rsidR="0070758D" w:rsidRPr="000948F1">
        <w:rPr>
          <w:sz w:val="22"/>
          <w:lang w:val="es-ES_tradnl"/>
        </w:rPr>
        <w:t>no aplica</w:t>
      </w:r>
      <w:r w:rsidR="0008075E" w:rsidRPr="000948F1">
        <w:rPr>
          <w:sz w:val="22"/>
          <w:lang w:val="es-ES_tradnl"/>
        </w:rPr>
        <w:t>ción</w:t>
      </w:r>
      <w:r w:rsidR="0070758D" w:rsidRPr="000948F1">
        <w:rPr>
          <w:sz w:val="22"/>
          <w:lang w:val="es-ES_tradnl"/>
        </w:rPr>
        <w:t xml:space="preserve"> </w:t>
      </w:r>
      <w:r w:rsidR="006C11AC" w:rsidRPr="000948F1">
        <w:rPr>
          <w:sz w:val="22"/>
          <w:lang w:val="es-ES_tradnl"/>
        </w:rPr>
        <w:t xml:space="preserve">de </w:t>
      </w:r>
      <w:r w:rsidR="0070758D" w:rsidRPr="000948F1">
        <w:rPr>
          <w:sz w:val="22"/>
          <w:lang w:val="es-ES_tradnl"/>
        </w:rPr>
        <w:t xml:space="preserve">la </w:t>
      </w:r>
      <w:r w:rsidR="00530748" w:rsidRPr="000948F1">
        <w:rPr>
          <w:sz w:val="22"/>
          <w:lang w:val="es-ES_tradnl"/>
        </w:rPr>
        <w:t>LDC</w:t>
      </w:r>
      <w:r w:rsidR="0070758D" w:rsidRPr="000948F1">
        <w:rPr>
          <w:sz w:val="22"/>
          <w:lang w:val="es-ES_tradnl"/>
        </w:rPr>
        <w:t xml:space="preserve"> a alguna industria o pueden tomar decisiones que tengan la misma consecuencia. En estos casos, el control de las conductas anticompetitivas queda en manos de las autoridades sectoriales, que muchas veces no cuentan con la capacidad técnica o la motivación de realizar el análisis de aspectos de competencia al enfocarse en </w:t>
      </w:r>
      <w:r w:rsidRPr="000948F1">
        <w:rPr>
          <w:sz w:val="22"/>
          <w:lang w:val="es-ES_tradnl"/>
        </w:rPr>
        <w:t xml:space="preserve">otros factores como, por ejemplo, </w:t>
      </w:r>
      <w:r w:rsidR="0070758D" w:rsidRPr="000948F1">
        <w:rPr>
          <w:sz w:val="22"/>
          <w:lang w:val="es-ES_tradnl"/>
        </w:rPr>
        <w:t xml:space="preserve">aspectos de crecimiento general del sector. Asimismo, las autoridades sectoriales pueden encontrarse con un catálogo de prohibiciones más limitado que el de la </w:t>
      </w:r>
      <w:r w:rsidR="00530748" w:rsidRPr="000948F1">
        <w:rPr>
          <w:sz w:val="22"/>
          <w:lang w:val="es-ES_tradnl"/>
        </w:rPr>
        <w:t>LDC</w:t>
      </w:r>
      <w:r w:rsidR="0070758D" w:rsidRPr="000948F1">
        <w:rPr>
          <w:sz w:val="22"/>
          <w:lang w:val="es-ES_tradnl"/>
        </w:rPr>
        <w:t>, restringiendo su capacidad de actuación.</w:t>
      </w:r>
      <w:r w:rsidR="0070758D" w:rsidRPr="001152C4">
        <w:rPr>
          <w:sz w:val="22"/>
          <w:lang w:val="es-ES_tradnl"/>
        </w:rPr>
        <w:t xml:space="preserve"> </w:t>
      </w:r>
      <w:r w:rsidR="000948F1" w:rsidRPr="002127D7">
        <w:rPr>
          <w:sz w:val="22"/>
          <w:lang w:val="es-ES_tradnl"/>
        </w:rPr>
        <w:t xml:space="preserve">Debe </w:t>
      </w:r>
      <w:r w:rsidR="000948F1" w:rsidRPr="000948F1">
        <w:rPr>
          <w:sz w:val="22"/>
          <w:lang w:val="es-ES_tradnl"/>
        </w:rPr>
        <w:t xml:space="preserve">tenerse en cuenta </w:t>
      </w:r>
      <w:r w:rsidR="000948F1">
        <w:rPr>
          <w:sz w:val="22"/>
          <w:lang w:val="es-ES_tradnl"/>
        </w:rPr>
        <w:t xml:space="preserve">además </w:t>
      </w:r>
      <w:r w:rsidR="000948F1" w:rsidRPr="000948F1">
        <w:rPr>
          <w:sz w:val="22"/>
          <w:lang w:val="es-ES_tradnl"/>
        </w:rPr>
        <w:t>que el artículo 2.4 de la LDC dispone que el ejercicio de un derecho, facultad o prerrogativa excepcional otorgada o reconocida por Ley, no se considerará práctica anticompetitiva ni abuso de posición dominante.</w:t>
      </w:r>
    </w:p>
    <w:p w14:paraId="2E92F44D" w14:textId="43D706F8" w:rsidR="0070758D" w:rsidRDefault="00392B22" w:rsidP="0070758D">
      <w:pPr>
        <w:rPr>
          <w:sz w:val="22"/>
          <w:lang w:val="es-ES_tradnl"/>
        </w:rPr>
      </w:pPr>
      <w:r w:rsidRPr="001152C4">
        <w:rPr>
          <w:sz w:val="22"/>
          <w:lang w:val="es-ES_tradnl"/>
        </w:rPr>
        <w:t xml:space="preserve">El riesgo reducido de sanciones </w:t>
      </w:r>
      <w:r w:rsidR="0008075E">
        <w:rPr>
          <w:sz w:val="22"/>
          <w:lang w:val="es-ES_tradnl"/>
        </w:rPr>
        <w:t xml:space="preserve">causado por la no aplicación de la LDC a un mercado o a una actividad </w:t>
      </w:r>
      <w:r w:rsidRPr="001152C4">
        <w:rPr>
          <w:sz w:val="22"/>
          <w:lang w:val="es-ES_tradnl"/>
        </w:rPr>
        <w:t>puede</w:t>
      </w:r>
      <w:r w:rsidR="0070758D" w:rsidRPr="001152C4">
        <w:rPr>
          <w:sz w:val="22"/>
          <w:lang w:val="es-ES_tradnl"/>
        </w:rPr>
        <w:t xml:space="preserve"> motiva</w:t>
      </w:r>
      <w:r w:rsidRPr="001152C4">
        <w:rPr>
          <w:sz w:val="22"/>
          <w:lang w:val="es-ES_tradnl"/>
        </w:rPr>
        <w:t>r</w:t>
      </w:r>
      <w:r w:rsidR="0070758D" w:rsidRPr="001152C4">
        <w:rPr>
          <w:sz w:val="22"/>
          <w:lang w:val="es-ES_tradnl"/>
        </w:rPr>
        <w:t xml:space="preserve"> </w:t>
      </w:r>
      <w:r w:rsidR="0008075E">
        <w:rPr>
          <w:sz w:val="22"/>
          <w:lang w:val="es-ES_tradnl"/>
        </w:rPr>
        <w:t xml:space="preserve">que </w:t>
      </w:r>
      <w:r w:rsidRPr="001152C4">
        <w:rPr>
          <w:sz w:val="22"/>
          <w:lang w:val="es-ES_tradnl"/>
        </w:rPr>
        <w:t xml:space="preserve">los </w:t>
      </w:r>
      <w:r w:rsidR="003F5127">
        <w:rPr>
          <w:sz w:val="22"/>
          <w:lang w:val="es-ES_tradnl"/>
        </w:rPr>
        <w:t>participantes del mercado</w:t>
      </w:r>
      <w:r w:rsidR="003F5127" w:rsidRPr="001152C4">
        <w:rPr>
          <w:sz w:val="22"/>
          <w:lang w:val="es-ES_tradnl"/>
        </w:rPr>
        <w:t xml:space="preserve"> </w:t>
      </w:r>
      <w:r w:rsidRPr="001152C4">
        <w:rPr>
          <w:sz w:val="22"/>
          <w:lang w:val="es-ES_tradnl"/>
        </w:rPr>
        <w:t>reali</w:t>
      </w:r>
      <w:r w:rsidR="0008075E">
        <w:rPr>
          <w:sz w:val="22"/>
          <w:lang w:val="es-ES_tradnl"/>
        </w:rPr>
        <w:t>cen</w:t>
      </w:r>
      <w:r w:rsidRPr="001152C4">
        <w:rPr>
          <w:sz w:val="22"/>
          <w:lang w:val="es-ES_tradnl"/>
        </w:rPr>
        <w:t xml:space="preserve"> conductas que</w:t>
      </w:r>
      <w:r w:rsidR="0008075E">
        <w:rPr>
          <w:sz w:val="22"/>
          <w:lang w:val="es-ES_tradnl"/>
        </w:rPr>
        <w:t xml:space="preserve"> la LDC considera típicamente como anticompetitivas, aprovechando esta </w:t>
      </w:r>
      <w:r w:rsidR="0008075E" w:rsidRPr="001D4A5E">
        <w:rPr>
          <w:sz w:val="22"/>
          <w:lang w:val="es-ES_tradnl"/>
        </w:rPr>
        <w:t>situación no</w:t>
      </w:r>
      <w:r w:rsidR="0008075E">
        <w:rPr>
          <w:sz w:val="22"/>
          <w:lang w:val="es-ES_tradnl"/>
        </w:rPr>
        <w:t>rmativa</w:t>
      </w:r>
      <w:r w:rsidRPr="001152C4">
        <w:rPr>
          <w:sz w:val="22"/>
          <w:lang w:val="es-ES_tradnl"/>
        </w:rPr>
        <w:t xml:space="preserve">. </w:t>
      </w:r>
    </w:p>
    <w:p w14:paraId="188FD348" w14:textId="51B0F1DF" w:rsidR="00393135" w:rsidRPr="001152C4" w:rsidRDefault="00393135" w:rsidP="0070758D">
      <w:pPr>
        <w:rPr>
          <w:sz w:val="22"/>
          <w:lang w:val="es-ES_tradnl"/>
        </w:rPr>
      </w:pPr>
      <w:r>
        <w:rPr>
          <w:sz w:val="22"/>
          <w:lang w:val="es-ES_tradnl"/>
        </w:rPr>
        <w:t>Es importante aclarar que estas excepciones no podrían ser implementadas a nivel de ordenanza</w:t>
      </w:r>
      <w:r w:rsidR="00F02BCC">
        <w:rPr>
          <w:sz w:val="22"/>
          <w:lang w:val="es-ES_tradnl"/>
        </w:rPr>
        <w:t xml:space="preserve"> o resolución municipal</w:t>
      </w:r>
      <w:r>
        <w:rPr>
          <w:sz w:val="22"/>
          <w:lang w:val="es-ES_tradnl"/>
        </w:rPr>
        <w:t xml:space="preserve">. Sin embargo, se considera prudente que las municipalidades conozcan estas barreras a fin de identificarlas, en caso de que se vean afectadas y requieran el </w:t>
      </w:r>
      <w:r w:rsidR="000D4F0B">
        <w:rPr>
          <w:sz w:val="22"/>
          <w:lang w:val="es-ES_tradnl"/>
        </w:rPr>
        <w:t>estudio</w:t>
      </w:r>
      <w:r>
        <w:rPr>
          <w:sz w:val="22"/>
          <w:lang w:val="es-ES_tradnl"/>
        </w:rPr>
        <w:t xml:space="preserve"> de la CONACOM</w:t>
      </w:r>
      <w:r w:rsidR="00F02BCC">
        <w:rPr>
          <w:sz w:val="22"/>
          <w:lang w:val="es-ES_tradnl"/>
        </w:rPr>
        <w:t xml:space="preserve"> de alguna normativa a nivel nacional que tenga este efecto</w:t>
      </w:r>
      <w:r>
        <w:rPr>
          <w:sz w:val="22"/>
          <w:lang w:val="es-ES_tradnl"/>
        </w:rPr>
        <w:t xml:space="preserve">. </w:t>
      </w:r>
    </w:p>
    <w:p w14:paraId="3EF843D5" w14:textId="0A43BE61" w:rsidR="00530748" w:rsidRPr="001152C4" w:rsidRDefault="00530748" w:rsidP="00BD08A1">
      <w:pPr>
        <w:pStyle w:val="Ttulo3"/>
      </w:pPr>
      <w:bookmarkStart w:id="37" w:name="_Toc160698854"/>
      <w:r w:rsidRPr="001152C4">
        <w:t>Publicación de información sensible</w:t>
      </w:r>
      <w:bookmarkEnd w:id="37"/>
    </w:p>
    <w:p w14:paraId="63EB4EA0" w14:textId="6D4AAD55" w:rsidR="00530748" w:rsidRPr="001152C4" w:rsidRDefault="00530748" w:rsidP="00530748">
      <w:pPr>
        <w:rPr>
          <w:sz w:val="22"/>
          <w:lang w:val="es-ES_tradnl"/>
        </w:rPr>
      </w:pPr>
      <w:r w:rsidRPr="001152C4">
        <w:rPr>
          <w:sz w:val="22"/>
          <w:lang w:val="es-ES_tradnl"/>
        </w:rPr>
        <w:t xml:space="preserve">En ocasiones, se promulgan normativas que exigen a los proveedores publicar datos como los costos, precios, cantidad de producción o volumen de ventas. Estas normativas se relacionan generalmente con el derecho de los consumidores de tener información que mejore su capacidad de decisión. </w:t>
      </w:r>
    </w:p>
    <w:p w14:paraId="30BDBBC4" w14:textId="2F3F9DD8" w:rsidR="00530748" w:rsidRPr="001152C4" w:rsidRDefault="00530748" w:rsidP="00530748">
      <w:pPr>
        <w:rPr>
          <w:sz w:val="22"/>
          <w:lang w:val="es-ES_tradnl"/>
        </w:rPr>
      </w:pPr>
      <w:r w:rsidRPr="001152C4">
        <w:rPr>
          <w:sz w:val="22"/>
          <w:lang w:val="es-ES_tradnl"/>
        </w:rPr>
        <w:t xml:space="preserve">Sin embargo, la publicación de algunos de estos datos en ciertos mercados puede contribuir a la celebración de acuerdos restrictivos de la competencia. La probabilidad aumenta cuando </w:t>
      </w:r>
      <w:r w:rsidRPr="001152C4">
        <w:rPr>
          <w:i/>
          <w:iCs/>
          <w:sz w:val="22"/>
          <w:lang w:val="es-ES_tradnl"/>
        </w:rPr>
        <w:t xml:space="preserve">existen menos participantes en el mercado, cuando las barreras de entrada son altas, en los casos en los que los productos de los diferentes proveedores son relativamente homogéneos y en los que se dispone de información acerca de cambios en los precios o la producción antes </w:t>
      </w:r>
      <w:r w:rsidRPr="001152C4">
        <w:rPr>
          <w:i/>
          <w:iCs/>
          <w:sz w:val="22"/>
          <w:lang w:val="es-ES_tradnl"/>
        </w:rPr>
        <w:lastRenderedPageBreak/>
        <w:t>o poco después del cambio mismo</w:t>
      </w:r>
      <w:r w:rsidRPr="001152C4">
        <w:rPr>
          <w:rStyle w:val="Refdenotaalpie"/>
          <w:i/>
          <w:iCs/>
          <w:sz w:val="22"/>
          <w:lang w:val="es-ES_tradnl"/>
        </w:rPr>
        <w:footnoteReference w:id="61"/>
      </w:r>
      <w:r w:rsidRPr="001152C4">
        <w:rPr>
          <w:sz w:val="22"/>
          <w:lang w:val="es-ES_tradnl"/>
        </w:rPr>
        <w:t>.</w:t>
      </w:r>
    </w:p>
    <w:p w14:paraId="6F421430" w14:textId="1F93B3A2" w:rsidR="006830FD" w:rsidRPr="001152C4" w:rsidRDefault="006D6CC3" w:rsidP="006D6CC3">
      <w:pPr>
        <w:rPr>
          <w:sz w:val="22"/>
          <w:lang w:val="es-ES_tradnl"/>
        </w:rPr>
      </w:pPr>
      <w:r w:rsidRPr="001152C4">
        <w:rPr>
          <w:sz w:val="22"/>
          <w:lang w:val="es-ES_tradnl"/>
        </w:rPr>
        <w:t xml:space="preserve">La OCDE observa que </w:t>
      </w:r>
      <w:r w:rsidR="00530748" w:rsidRPr="001152C4">
        <w:rPr>
          <w:sz w:val="22"/>
          <w:lang w:val="es-ES_tradnl"/>
        </w:rPr>
        <w:t>un requisito clave para la operación</w:t>
      </w:r>
      <w:r w:rsidRPr="001152C4">
        <w:rPr>
          <w:sz w:val="22"/>
          <w:lang w:val="es-ES_tradnl"/>
        </w:rPr>
        <w:t xml:space="preserve"> </w:t>
      </w:r>
      <w:r w:rsidR="00530748" w:rsidRPr="001152C4">
        <w:rPr>
          <w:sz w:val="22"/>
          <w:lang w:val="es-ES_tradnl"/>
        </w:rPr>
        <w:t xml:space="preserve">de </w:t>
      </w:r>
      <w:r w:rsidRPr="001152C4">
        <w:rPr>
          <w:sz w:val="22"/>
          <w:lang w:val="es-ES_tradnl"/>
        </w:rPr>
        <w:t xml:space="preserve">mercados </w:t>
      </w:r>
      <w:proofErr w:type="spellStart"/>
      <w:r w:rsidRPr="001152C4">
        <w:rPr>
          <w:sz w:val="22"/>
          <w:lang w:val="es-ES_tradnl"/>
        </w:rPr>
        <w:t>cartelizados</w:t>
      </w:r>
      <w:proofErr w:type="spellEnd"/>
      <w:r w:rsidRPr="001152C4">
        <w:rPr>
          <w:sz w:val="22"/>
          <w:lang w:val="es-ES_tradnl"/>
        </w:rPr>
        <w:t xml:space="preserve"> </w:t>
      </w:r>
      <w:r w:rsidR="00530748" w:rsidRPr="001152C4">
        <w:rPr>
          <w:sz w:val="22"/>
          <w:lang w:val="es-ES_tradnl"/>
        </w:rPr>
        <w:t>es que sus participantes tengan un seguimiento eficaz</w:t>
      </w:r>
      <w:r w:rsidRPr="001152C4">
        <w:rPr>
          <w:sz w:val="22"/>
          <w:lang w:val="es-ES_tradnl"/>
        </w:rPr>
        <w:t xml:space="preserve"> </w:t>
      </w:r>
      <w:r w:rsidR="00530748" w:rsidRPr="001152C4">
        <w:rPr>
          <w:sz w:val="22"/>
          <w:lang w:val="es-ES_tradnl"/>
        </w:rPr>
        <w:t>de la conducta de sus competidores (o c</w:t>
      </w:r>
      <w:r w:rsidRPr="001152C4">
        <w:rPr>
          <w:sz w:val="22"/>
          <w:lang w:val="es-ES_tradnl"/>
        </w:rPr>
        <w:t>ó</w:t>
      </w:r>
      <w:r w:rsidR="00530748" w:rsidRPr="001152C4">
        <w:rPr>
          <w:sz w:val="22"/>
          <w:lang w:val="es-ES_tradnl"/>
        </w:rPr>
        <w:t xml:space="preserve">mplices) en el mercado. </w:t>
      </w:r>
    </w:p>
    <w:p w14:paraId="005F0BF9" w14:textId="5387E882" w:rsidR="007167D8" w:rsidRPr="001152C4" w:rsidRDefault="007167D8" w:rsidP="00BD08A1">
      <w:pPr>
        <w:pStyle w:val="Ttulo3"/>
      </w:pPr>
      <w:bookmarkStart w:id="38" w:name="_Toc160698855"/>
      <w:r w:rsidRPr="001152C4">
        <w:t>Fomento de contacto o comunicación entre competidores</w:t>
      </w:r>
      <w:bookmarkEnd w:id="38"/>
    </w:p>
    <w:p w14:paraId="1FEF9EF1" w14:textId="6140C30E" w:rsidR="007167D8" w:rsidRPr="001152C4" w:rsidRDefault="007167D8" w:rsidP="007167D8">
      <w:pPr>
        <w:rPr>
          <w:sz w:val="22"/>
          <w:lang w:val="es-PY"/>
        </w:rPr>
      </w:pPr>
      <w:r w:rsidRPr="001152C4">
        <w:rPr>
          <w:sz w:val="22"/>
          <w:lang w:val="es-PY"/>
        </w:rPr>
        <w:t xml:space="preserve">Los competidores de un mercado pueden tener comunicaciones entre sí en el curso normal de sus operaciones y hasta agruparse en gremios o asociaciones empresariales, pero es importante que dichos contactos se realicen respetando las normas de competencia, evitando prácticas como compartir información sensible o tomar decisiones conjuntas sobre cuestiones comerciales o que restrinjan la competencia en el mercado. </w:t>
      </w:r>
    </w:p>
    <w:p w14:paraId="0C87D3E5" w14:textId="48FB1A0B" w:rsidR="007167D8" w:rsidRPr="001152C4" w:rsidRDefault="00D54640" w:rsidP="007167D8">
      <w:pPr>
        <w:rPr>
          <w:sz w:val="22"/>
          <w:lang w:val="es-PY"/>
        </w:rPr>
      </w:pPr>
      <w:r w:rsidRPr="00DA6F51">
        <w:rPr>
          <w:sz w:val="22"/>
          <w:lang w:val="es-PY"/>
        </w:rPr>
        <w:t>En ese sentido, e</w:t>
      </w:r>
      <w:r w:rsidR="007167D8" w:rsidRPr="00DA6F51">
        <w:rPr>
          <w:sz w:val="22"/>
          <w:lang w:val="es-PY"/>
        </w:rPr>
        <w:t xml:space="preserve">s importante que el </w:t>
      </w:r>
      <w:r w:rsidR="00F02BCC" w:rsidRPr="00DA6F51">
        <w:rPr>
          <w:sz w:val="22"/>
          <w:lang w:val="es-PY"/>
        </w:rPr>
        <w:t>municipio</w:t>
      </w:r>
      <w:r w:rsidR="007167D8" w:rsidRPr="00DA6F51">
        <w:rPr>
          <w:sz w:val="22"/>
          <w:lang w:val="es-PY"/>
        </w:rPr>
        <w:t xml:space="preserve"> no </w:t>
      </w:r>
      <w:r w:rsidRPr="00DA6F51">
        <w:rPr>
          <w:sz w:val="22"/>
          <w:lang w:val="es-PY"/>
        </w:rPr>
        <w:t>establezca regulaciones que fomenten la comunicación o el contacto entre competidores en espacios en que pueda ser de mayor interés limitar dicha comunicación por tratarse temas de sensibilidad relevante para el mercado.</w:t>
      </w:r>
      <w:r w:rsidRPr="001152C4">
        <w:rPr>
          <w:sz w:val="22"/>
          <w:lang w:val="es-PY"/>
        </w:rPr>
        <w:t xml:space="preserve"> </w:t>
      </w:r>
    </w:p>
    <w:p w14:paraId="3E209775" w14:textId="7B1B2575" w:rsidR="006D6CC3" w:rsidRPr="001152C4" w:rsidRDefault="006D6CC3" w:rsidP="00BD08A1">
      <w:pPr>
        <w:pStyle w:val="Ttulo3"/>
      </w:pPr>
      <w:bookmarkStart w:id="39" w:name="_Toc160698856"/>
      <w:r w:rsidRPr="001152C4">
        <w:t xml:space="preserve">Régimen de autorregulación o </w:t>
      </w:r>
      <w:proofErr w:type="spellStart"/>
      <w:r w:rsidRPr="001152C4">
        <w:t>corregulación</w:t>
      </w:r>
      <w:bookmarkEnd w:id="39"/>
      <w:proofErr w:type="spellEnd"/>
    </w:p>
    <w:p w14:paraId="145CEB4E" w14:textId="2AE89B91" w:rsidR="006830FD" w:rsidRPr="001152C4" w:rsidRDefault="003E7D09" w:rsidP="003E7D09">
      <w:pPr>
        <w:rPr>
          <w:rFonts w:cs="Arial"/>
          <w:sz w:val="22"/>
        </w:rPr>
      </w:pPr>
      <w:r w:rsidRPr="001152C4">
        <w:rPr>
          <w:sz w:val="22"/>
          <w:lang w:val="es-ES_tradnl"/>
        </w:rPr>
        <w:t>La autorregulación es definida como la regulación de aspectos del mercado por parte de los mismos participantes de la industria, generalmente a través de un órgano de representación</w:t>
      </w:r>
      <w:r w:rsidRPr="001152C4">
        <w:rPr>
          <w:rStyle w:val="Refdenotaalpie"/>
          <w:sz w:val="22"/>
          <w:lang w:val="es-ES_tradnl"/>
        </w:rPr>
        <w:footnoteReference w:id="62"/>
      </w:r>
      <w:r w:rsidRPr="001152C4">
        <w:rPr>
          <w:sz w:val="22"/>
          <w:lang w:val="es-ES_tradnl"/>
        </w:rPr>
        <w:t xml:space="preserve">. La </w:t>
      </w:r>
      <w:proofErr w:type="spellStart"/>
      <w:r w:rsidRPr="001152C4">
        <w:rPr>
          <w:sz w:val="22"/>
          <w:lang w:val="es-ES_tradnl"/>
        </w:rPr>
        <w:t>corregulación</w:t>
      </w:r>
      <w:proofErr w:type="spellEnd"/>
      <w:r w:rsidRPr="001152C4">
        <w:rPr>
          <w:sz w:val="22"/>
          <w:lang w:val="es-ES_tradnl"/>
        </w:rPr>
        <w:t xml:space="preserve">, por su parte, ocurre </w:t>
      </w:r>
      <w:r w:rsidRPr="001152C4">
        <w:rPr>
          <w:rFonts w:cs="Arial"/>
          <w:sz w:val="22"/>
        </w:rPr>
        <w:t xml:space="preserve">cuando las </w:t>
      </w:r>
      <w:r w:rsidR="003A3DD0" w:rsidRPr="001152C4">
        <w:rPr>
          <w:rFonts w:cs="Arial"/>
          <w:sz w:val="22"/>
        </w:rPr>
        <w:t>autoridades</w:t>
      </w:r>
      <w:r w:rsidRPr="001152C4">
        <w:rPr>
          <w:rFonts w:cs="Arial"/>
          <w:sz w:val="22"/>
        </w:rPr>
        <w:t xml:space="preserve"> prestan cierto apoyo legislativo a las disposiciones desarrolladas por una asociación profesional o empresarial, bien de forma exclusiva o </w:t>
      </w:r>
      <w:proofErr w:type="gramStart"/>
      <w:r w:rsidRPr="001152C4">
        <w:rPr>
          <w:rFonts w:cs="Arial"/>
          <w:sz w:val="22"/>
        </w:rPr>
        <w:t>conjuntamente con</w:t>
      </w:r>
      <w:proofErr w:type="gramEnd"/>
      <w:r w:rsidRPr="001152C4">
        <w:rPr>
          <w:rFonts w:cs="Arial"/>
          <w:sz w:val="22"/>
        </w:rPr>
        <w:t xml:space="preserve"> el gobierno</w:t>
      </w:r>
      <w:r w:rsidRPr="001152C4">
        <w:rPr>
          <w:rStyle w:val="Refdenotaalpie"/>
          <w:rFonts w:cs="Arial"/>
          <w:sz w:val="22"/>
        </w:rPr>
        <w:footnoteReference w:id="63"/>
      </w:r>
      <w:r w:rsidRPr="001152C4">
        <w:rPr>
          <w:rFonts w:cs="Arial"/>
          <w:sz w:val="22"/>
        </w:rPr>
        <w:t xml:space="preserve">. </w:t>
      </w:r>
    </w:p>
    <w:p w14:paraId="533B5EE6" w14:textId="2DFB1888" w:rsidR="003E7D09" w:rsidRPr="001152C4" w:rsidRDefault="003E7D09" w:rsidP="003E7D09">
      <w:pPr>
        <w:rPr>
          <w:rFonts w:cs="Arial"/>
          <w:sz w:val="22"/>
        </w:rPr>
      </w:pPr>
      <w:r w:rsidRPr="001152C4">
        <w:rPr>
          <w:rFonts w:cs="Arial"/>
          <w:sz w:val="22"/>
        </w:rPr>
        <w:t xml:space="preserve">Si bien estas medidas pueden fomentar un ambiente de intervención reducida del </w:t>
      </w:r>
      <w:r w:rsidR="00F02BCC">
        <w:rPr>
          <w:rFonts w:cs="Arial"/>
          <w:sz w:val="22"/>
        </w:rPr>
        <w:t xml:space="preserve">municipio </w:t>
      </w:r>
      <w:r w:rsidRPr="001152C4">
        <w:rPr>
          <w:rFonts w:cs="Arial"/>
          <w:sz w:val="22"/>
        </w:rPr>
        <w:t>en una actividad o industria, también pueden fomentar la celebración de acuerdos restrictivos</w:t>
      </w:r>
      <w:r w:rsidR="00BE5D21" w:rsidRPr="001152C4">
        <w:rPr>
          <w:rFonts w:cs="Arial"/>
          <w:sz w:val="22"/>
        </w:rPr>
        <w:t xml:space="preserve">, pudiendo un grupo de los agremiados establecer reglas que les favorecen en perjuicio de </w:t>
      </w:r>
      <w:r w:rsidR="00225117">
        <w:rPr>
          <w:rFonts w:cs="Arial"/>
          <w:sz w:val="22"/>
        </w:rPr>
        <w:t xml:space="preserve">otro grupo </w:t>
      </w:r>
      <w:r w:rsidR="00BE5D21" w:rsidRPr="001152C4">
        <w:rPr>
          <w:rFonts w:cs="Arial"/>
          <w:sz w:val="22"/>
        </w:rPr>
        <w:t xml:space="preserve">o que limitan la entrada de nuevos </w:t>
      </w:r>
      <w:r w:rsidR="00225117">
        <w:rPr>
          <w:rFonts w:cs="Arial"/>
          <w:sz w:val="22"/>
        </w:rPr>
        <w:t>participantes en el</w:t>
      </w:r>
      <w:r w:rsidR="00BE5D21" w:rsidRPr="001152C4">
        <w:rPr>
          <w:rFonts w:cs="Arial"/>
          <w:sz w:val="22"/>
        </w:rPr>
        <w:t xml:space="preserve"> mercado, entre otras posibilidades que terminan restringiendo la competencia. </w:t>
      </w:r>
    </w:p>
    <w:p w14:paraId="151D3E84" w14:textId="02CD1F90" w:rsidR="00BE5D21" w:rsidRPr="001152C4" w:rsidRDefault="00BE5D21" w:rsidP="00BD08A1">
      <w:pPr>
        <w:pStyle w:val="Ttulo2"/>
      </w:pPr>
      <w:bookmarkStart w:id="40" w:name="_Toc160698857"/>
      <w:r w:rsidRPr="001152C4">
        <w:t>Normas que limitan las alternativas e información de consumidores</w:t>
      </w:r>
      <w:bookmarkEnd w:id="40"/>
    </w:p>
    <w:p w14:paraId="12408E50" w14:textId="12A776F9" w:rsidR="00DF2379" w:rsidRPr="0076757C" w:rsidRDefault="0076757C" w:rsidP="0076757C">
      <w:pPr>
        <w:rPr>
          <w:sz w:val="22"/>
          <w:lang w:val="es-ES_tradnl"/>
        </w:rPr>
      </w:pPr>
      <w:r>
        <w:rPr>
          <w:sz w:val="22"/>
          <w:lang w:val="es-ES_tradnl"/>
        </w:rPr>
        <w:t>Como señala la OCDE, [</w:t>
      </w:r>
      <w:r w:rsidRPr="00972AE0">
        <w:rPr>
          <w:i/>
          <w:iCs/>
          <w:sz w:val="22"/>
          <w:lang w:val="es-ES_tradnl"/>
        </w:rPr>
        <w:t>l</w:t>
      </w:r>
      <w:r>
        <w:rPr>
          <w:sz w:val="22"/>
          <w:lang w:val="es-ES_tradnl"/>
        </w:rPr>
        <w:t>]</w:t>
      </w:r>
      <w:r w:rsidRPr="00972AE0">
        <w:rPr>
          <w:i/>
          <w:iCs/>
          <w:sz w:val="22"/>
          <w:lang w:val="es-ES_tradnl"/>
        </w:rPr>
        <w:t>os consumidores toman sus decisiones de compra con base en factores tales</w:t>
      </w:r>
      <w:r>
        <w:rPr>
          <w:i/>
          <w:iCs/>
          <w:sz w:val="22"/>
          <w:lang w:val="es-ES_tradnl"/>
        </w:rPr>
        <w:t xml:space="preserve"> </w:t>
      </w:r>
      <w:r w:rsidRPr="00972AE0">
        <w:rPr>
          <w:i/>
          <w:iCs/>
          <w:sz w:val="22"/>
          <w:lang w:val="es-ES_tradnl"/>
        </w:rPr>
        <w:t>como preferencias personales, ingresos, precios y atributos de los productos</w:t>
      </w:r>
      <w:r>
        <w:rPr>
          <w:i/>
          <w:iCs/>
          <w:sz w:val="22"/>
          <w:lang w:val="es-ES_tradnl"/>
        </w:rPr>
        <w:t xml:space="preserve"> </w:t>
      </w:r>
      <w:r>
        <w:rPr>
          <w:i/>
          <w:iCs/>
          <w:sz w:val="22"/>
          <w:lang w:val="es-ES_tradnl"/>
        </w:rPr>
        <w:lastRenderedPageBreak/>
        <w:t>competidores</w:t>
      </w:r>
      <w:r>
        <w:rPr>
          <w:rStyle w:val="Refdenotaalpie"/>
          <w:i/>
          <w:iCs/>
          <w:sz w:val="22"/>
          <w:lang w:val="es-ES_tradnl"/>
        </w:rPr>
        <w:footnoteReference w:id="64"/>
      </w:r>
      <w:r>
        <w:rPr>
          <w:sz w:val="22"/>
          <w:lang w:val="es-ES_tradnl"/>
        </w:rPr>
        <w:t xml:space="preserve">. </w:t>
      </w:r>
      <w:r w:rsidR="00802470" w:rsidRPr="001152C4">
        <w:rPr>
          <w:sz w:val="22"/>
          <w:lang w:val="es-ES_tradnl"/>
        </w:rPr>
        <w:t>Existen normativas que</w:t>
      </w:r>
      <w:r w:rsidR="003D3703" w:rsidRPr="001152C4">
        <w:rPr>
          <w:sz w:val="22"/>
          <w:lang w:val="es-ES_tradnl"/>
        </w:rPr>
        <w:t xml:space="preserve">, sin </w:t>
      </w:r>
      <w:r>
        <w:rPr>
          <w:sz w:val="22"/>
          <w:lang w:val="es-ES_tradnl"/>
        </w:rPr>
        <w:t xml:space="preserve">limitar la cantidad de competidores ni su capacidad de competir, ni reducir el incentivo de competir, </w:t>
      </w:r>
      <w:r w:rsidR="003D3703" w:rsidRPr="001152C4">
        <w:rPr>
          <w:sz w:val="22"/>
          <w:lang w:val="es-ES_tradnl"/>
        </w:rPr>
        <w:t xml:space="preserve">terminan afectando </w:t>
      </w:r>
      <w:r>
        <w:rPr>
          <w:sz w:val="22"/>
          <w:lang w:val="es-ES_tradnl"/>
        </w:rPr>
        <w:t xml:space="preserve">igualmente a los consumidores de manera directa, incidiendo en </w:t>
      </w:r>
      <w:r w:rsidR="003D3703" w:rsidRPr="001152C4">
        <w:rPr>
          <w:sz w:val="22"/>
          <w:lang w:val="es-ES_tradnl"/>
        </w:rPr>
        <w:t xml:space="preserve">la </w:t>
      </w:r>
      <w:r>
        <w:rPr>
          <w:sz w:val="22"/>
          <w:lang w:val="es-ES_tradnl"/>
        </w:rPr>
        <w:t xml:space="preserve">capacidad de elegir </w:t>
      </w:r>
      <w:r w:rsidR="003D3703" w:rsidRPr="001152C4">
        <w:rPr>
          <w:sz w:val="22"/>
          <w:lang w:val="es-ES_tradnl"/>
        </w:rPr>
        <w:t xml:space="preserve">alternativas y la información disponible. </w:t>
      </w:r>
    </w:p>
    <w:p w14:paraId="39F107BA" w14:textId="15F4E64A" w:rsidR="00BE5D21" w:rsidRPr="001152C4" w:rsidRDefault="00802470" w:rsidP="00BD08A1">
      <w:pPr>
        <w:pStyle w:val="Ttulo3"/>
      </w:pPr>
      <w:bookmarkStart w:id="41" w:name="_Toc160698858"/>
      <w:r w:rsidRPr="001152C4">
        <w:t>Reducción de movilidad de clientes entre proveedores</w:t>
      </w:r>
      <w:bookmarkEnd w:id="41"/>
    </w:p>
    <w:p w14:paraId="71BDDDFF" w14:textId="3901C43B" w:rsidR="003D3703" w:rsidRPr="001152C4" w:rsidRDefault="003D3703" w:rsidP="003D3703">
      <w:pPr>
        <w:rPr>
          <w:sz w:val="22"/>
          <w:lang w:val="es-ES_tradnl"/>
        </w:rPr>
      </w:pPr>
      <w:r w:rsidRPr="001152C4">
        <w:rPr>
          <w:sz w:val="22"/>
          <w:lang w:val="es-ES_tradnl"/>
        </w:rPr>
        <w:t xml:space="preserve">En ocasiones, cuando un consumidor cambia de un proveedor a otro, se generan costos que deben ser cubiertos por alguna de las partes del contrato. Las regulaciones a que hace referencia este indicador son aquellas que, desde </w:t>
      </w:r>
      <w:r w:rsidR="00417888">
        <w:rPr>
          <w:sz w:val="22"/>
          <w:lang w:val="es-ES_tradnl"/>
        </w:rPr>
        <w:t xml:space="preserve">la </w:t>
      </w:r>
      <w:proofErr w:type="gramStart"/>
      <w:r w:rsidR="00417888">
        <w:rPr>
          <w:sz w:val="22"/>
          <w:lang w:val="es-ES_tradnl"/>
        </w:rPr>
        <w:t>autoridad pública</w:t>
      </w:r>
      <w:proofErr w:type="gramEnd"/>
      <w:r w:rsidRPr="001152C4">
        <w:rPr>
          <w:sz w:val="22"/>
          <w:lang w:val="es-ES_tradnl"/>
        </w:rPr>
        <w:t>, imponen la carga al consumidor, de manera que se lo desalienta a realizar el cambio. En este caso, el grado de restricción a la competencia dependerá de la cuantía de los costos a ser asumidos por el consumidor, que en ocasiones puede ser decidida por cada proveedor, motivándolo a fijar un monto elevado</w:t>
      </w:r>
      <w:r w:rsidRPr="001152C4">
        <w:rPr>
          <w:rStyle w:val="Refdenotaalpie"/>
          <w:sz w:val="22"/>
          <w:lang w:val="es-ES_tradnl"/>
        </w:rPr>
        <w:footnoteReference w:id="65"/>
      </w:r>
      <w:r w:rsidRPr="001152C4">
        <w:rPr>
          <w:sz w:val="22"/>
          <w:lang w:val="es-ES_tradnl"/>
        </w:rPr>
        <w:t xml:space="preserve">. </w:t>
      </w:r>
    </w:p>
    <w:p w14:paraId="4376D0F6" w14:textId="1BFA77AD" w:rsidR="003D3703" w:rsidRPr="001152C4" w:rsidRDefault="003D3703" w:rsidP="003D3703">
      <w:pPr>
        <w:rPr>
          <w:sz w:val="22"/>
          <w:lang w:val="es-ES_tradnl"/>
        </w:rPr>
      </w:pPr>
      <w:r w:rsidRPr="001152C4">
        <w:rPr>
          <w:sz w:val="22"/>
          <w:lang w:val="es-ES_tradnl"/>
        </w:rPr>
        <w:t xml:space="preserve">La reducción de movilidad también puede surgir si la normativa exige que el proveedor </w:t>
      </w:r>
      <w:r w:rsidRPr="001152C4">
        <w:rPr>
          <w:i/>
          <w:iCs/>
          <w:sz w:val="22"/>
          <w:lang w:val="es-ES_tradnl"/>
        </w:rPr>
        <w:t>saliente</w:t>
      </w:r>
      <w:r w:rsidRPr="001152C4">
        <w:rPr>
          <w:sz w:val="22"/>
          <w:lang w:val="es-ES_tradnl"/>
        </w:rPr>
        <w:t xml:space="preserve"> realice trámites y dicha exigencia no está acompañada por una obligación de realizar dicho trámite en un plazo, permitiendo al proveedor </w:t>
      </w:r>
      <w:r w:rsidRPr="001152C4">
        <w:rPr>
          <w:i/>
          <w:iCs/>
          <w:sz w:val="22"/>
          <w:lang w:val="es-ES_tradnl"/>
        </w:rPr>
        <w:t>saliente</w:t>
      </w:r>
      <w:r w:rsidRPr="001152C4">
        <w:rPr>
          <w:sz w:val="22"/>
          <w:lang w:val="es-ES_tradnl"/>
        </w:rPr>
        <w:t xml:space="preserve"> decidir el momento de cambio del cliente</w:t>
      </w:r>
      <w:r w:rsidRPr="001152C4">
        <w:rPr>
          <w:rStyle w:val="Refdenotaalpie"/>
          <w:sz w:val="22"/>
          <w:lang w:val="es-ES_tradnl"/>
        </w:rPr>
        <w:footnoteReference w:id="66"/>
      </w:r>
      <w:r w:rsidRPr="001152C4">
        <w:rPr>
          <w:sz w:val="22"/>
          <w:lang w:val="es-ES_tradnl"/>
        </w:rPr>
        <w:t xml:space="preserve">. </w:t>
      </w:r>
    </w:p>
    <w:p w14:paraId="4D33B660" w14:textId="02A1551D" w:rsidR="00802470" w:rsidRPr="00300F06" w:rsidRDefault="00C94557" w:rsidP="00BD08A1">
      <w:pPr>
        <w:pStyle w:val="Ttulo3"/>
      </w:pPr>
      <w:bookmarkStart w:id="42" w:name="_Toc160698859"/>
      <w:r w:rsidRPr="00300F06">
        <w:t>Requisitos insuficientes de información para la toma de decisiones</w:t>
      </w:r>
      <w:bookmarkEnd w:id="42"/>
    </w:p>
    <w:p w14:paraId="59ADE29E" w14:textId="446289BD" w:rsidR="001030E2" w:rsidRPr="001152C4" w:rsidRDefault="00C94557" w:rsidP="001030E2">
      <w:pPr>
        <w:rPr>
          <w:sz w:val="22"/>
          <w:lang w:val="es-ES_tradnl"/>
        </w:rPr>
      </w:pPr>
      <w:r w:rsidRPr="001152C4">
        <w:rPr>
          <w:sz w:val="22"/>
          <w:lang w:val="es-ES_tradnl"/>
        </w:rPr>
        <w:t xml:space="preserve">En algunos mercados, la complejidad de las transacciones puede </w:t>
      </w:r>
      <w:r w:rsidRPr="005449C9">
        <w:rPr>
          <w:sz w:val="22"/>
          <w:lang w:val="es-ES_tradnl"/>
        </w:rPr>
        <w:t>generar inconvenientes al consumidor al momento de elegir proveedores.</w:t>
      </w:r>
      <w:r w:rsidRPr="001152C4">
        <w:rPr>
          <w:sz w:val="22"/>
          <w:lang w:val="es-ES_tradnl"/>
        </w:rPr>
        <w:t xml:space="preserve"> La asimetría de la información puede justificar que una regulación exija a los proveedores </w:t>
      </w:r>
      <w:r w:rsidRPr="001152C4">
        <w:rPr>
          <w:i/>
          <w:iCs/>
          <w:sz w:val="22"/>
          <w:lang w:val="es-ES_tradnl"/>
        </w:rPr>
        <w:t>a generar cierto tipo de información a efecto de permitir la comparabilidad entre diferentes bienes y servicios, pero sin favorecer el surgimiento y monitoreo de acuerdos colusorios</w:t>
      </w:r>
      <w:r w:rsidRPr="001152C4">
        <w:rPr>
          <w:rStyle w:val="Refdenotaalpie"/>
          <w:i/>
          <w:iCs/>
          <w:sz w:val="22"/>
          <w:lang w:val="es-ES_tradnl"/>
        </w:rPr>
        <w:footnoteReference w:id="67"/>
      </w:r>
      <w:r w:rsidRPr="001152C4">
        <w:rPr>
          <w:sz w:val="22"/>
          <w:lang w:val="es-ES_tradnl"/>
        </w:rPr>
        <w:t xml:space="preserve">. </w:t>
      </w:r>
    </w:p>
    <w:p w14:paraId="134B02A9" w14:textId="0D16AFF1" w:rsidR="00C94557" w:rsidRPr="001152C4" w:rsidRDefault="00C94557" w:rsidP="001030E2">
      <w:pPr>
        <w:rPr>
          <w:sz w:val="22"/>
          <w:lang w:val="es-ES_tradnl"/>
        </w:rPr>
      </w:pPr>
      <w:r w:rsidRPr="001152C4">
        <w:rPr>
          <w:sz w:val="22"/>
          <w:lang w:val="es-ES_tradnl"/>
        </w:rPr>
        <w:t xml:space="preserve">Es importante así que la regulación de estos mercados, por un lado, no limite el flujo de la información necesaria, sino que determine y abarque toda aquella que permita a los consumidores sobrepasar los problemas que genera la asimetría de la información. </w:t>
      </w:r>
    </w:p>
    <w:p w14:paraId="3A68733D" w14:textId="5419B7F6" w:rsidR="00EC239E" w:rsidRPr="001152C4" w:rsidRDefault="00EC239E">
      <w:pPr>
        <w:widowControl/>
        <w:spacing w:before="0" w:line="259" w:lineRule="auto"/>
        <w:jc w:val="left"/>
        <w:rPr>
          <w:sz w:val="22"/>
          <w:lang w:val="es-ES_tradnl"/>
        </w:rPr>
      </w:pPr>
      <w:r w:rsidRPr="001152C4">
        <w:rPr>
          <w:sz w:val="22"/>
          <w:lang w:val="es-ES_tradnl"/>
        </w:rPr>
        <w:br w:type="page"/>
      </w:r>
    </w:p>
    <w:p w14:paraId="79B3392C" w14:textId="77777777" w:rsidR="00EC239E" w:rsidRPr="001152C4" w:rsidRDefault="00EC239E" w:rsidP="001030E2">
      <w:pPr>
        <w:rPr>
          <w:sz w:val="22"/>
          <w:lang w:val="es-ES_tradnl"/>
        </w:rPr>
      </w:pPr>
    </w:p>
    <w:p w14:paraId="428057A9" w14:textId="4651A170" w:rsidR="006830FD" w:rsidRPr="001152C4" w:rsidRDefault="006830FD" w:rsidP="006830FD">
      <w:pPr>
        <w:pStyle w:val="Ttulo1"/>
        <w:rPr>
          <w:sz w:val="22"/>
          <w:lang w:val="es-ES_tradnl"/>
        </w:rPr>
      </w:pPr>
      <w:bookmarkStart w:id="43" w:name="_Toc160698860"/>
      <w:r w:rsidRPr="001152C4">
        <w:rPr>
          <w:sz w:val="22"/>
          <w:lang w:val="es-ES_tradnl"/>
        </w:rPr>
        <w:t xml:space="preserve">Análisis de </w:t>
      </w:r>
      <w:r w:rsidR="00EC239E" w:rsidRPr="001152C4">
        <w:rPr>
          <w:sz w:val="22"/>
          <w:lang w:val="es-ES_tradnl"/>
        </w:rPr>
        <w:t xml:space="preserve">la </w:t>
      </w:r>
      <w:r w:rsidRPr="001152C4">
        <w:rPr>
          <w:sz w:val="22"/>
          <w:lang w:val="es-ES_tradnl"/>
        </w:rPr>
        <w:t>justificación</w:t>
      </w:r>
      <w:bookmarkEnd w:id="43"/>
    </w:p>
    <w:p w14:paraId="34C3D146" w14:textId="720DDEDD" w:rsidR="00620B02" w:rsidRPr="001152C4" w:rsidRDefault="00620B02" w:rsidP="00620B02">
      <w:pPr>
        <w:rPr>
          <w:sz w:val="22"/>
          <w:lang w:val="es-PY"/>
        </w:rPr>
      </w:pPr>
      <w:r w:rsidRPr="001152C4">
        <w:rPr>
          <w:sz w:val="22"/>
          <w:lang w:val="es-ES_tradnl"/>
        </w:rPr>
        <w:t xml:space="preserve">Una vez identificada una barrera regulatoria, corresponde realizar un análisis de su justificación. </w:t>
      </w:r>
      <w:r w:rsidRPr="001152C4">
        <w:rPr>
          <w:sz w:val="22"/>
          <w:lang w:val="es-PY"/>
        </w:rPr>
        <w:t xml:space="preserve">La identificación de una barrera no quiere decir necesariamente que la misma deba ser removida, </w:t>
      </w:r>
      <w:r w:rsidR="00E5775F" w:rsidRPr="001152C4">
        <w:rPr>
          <w:sz w:val="22"/>
          <w:lang w:val="es-PY"/>
        </w:rPr>
        <w:t>pero</w:t>
      </w:r>
      <w:r w:rsidR="00225117">
        <w:rPr>
          <w:sz w:val="22"/>
          <w:lang w:val="es-PY"/>
        </w:rPr>
        <w:t xml:space="preserve"> su subsistencia</w:t>
      </w:r>
      <w:r w:rsidR="00E5775F" w:rsidRPr="001152C4">
        <w:rPr>
          <w:sz w:val="22"/>
          <w:lang w:val="es-PY"/>
        </w:rPr>
        <w:t xml:space="preserve"> debe </w:t>
      </w:r>
      <w:r w:rsidRPr="001152C4">
        <w:rPr>
          <w:sz w:val="22"/>
          <w:lang w:val="es-PY"/>
        </w:rPr>
        <w:t xml:space="preserve">estar </w:t>
      </w:r>
      <w:r w:rsidR="00E5775F" w:rsidRPr="001152C4">
        <w:rPr>
          <w:sz w:val="22"/>
          <w:lang w:val="es-PY"/>
        </w:rPr>
        <w:t xml:space="preserve">debidamente </w:t>
      </w:r>
      <w:r w:rsidRPr="001152C4">
        <w:rPr>
          <w:sz w:val="22"/>
          <w:lang w:val="es-PY"/>
        </w:rPr>
        <w:t xml:space="preserve">justificada, como ha admitido la CONACOM en varias opiniones. De conformidad, la Comisión Nacional de la Competencia de España señalaba en 2008 que </w:t>
      </w:r>
      <w:r w:rsidRPr="001152C4">
        <w:rPr>
          <w:iCs/>
          <w:sz w:val="22"/>
          <w:lang w:val="es-PY"/>
        </w:rPr>
        <w:t>[</w:t>
      </w:r>
      <w:r w:rsidRPr="001152C4">
        <w:rPr>
          <w:i/>
          <w:sz w:val="22"/>
          <w:lang w:val="es-PY"/>
        </w:rPr>
        <w:t>e</w:t>
      </w:r>
      <w:r w:rsidRPr="001152C4">
        <w:rPr>
          <w:iCs/>
          <w:sz w:val="22"/>
          <w:lang w:val="es-PY"/>
        </w:rPr>
        <w:t>]</w:t>
      </w:r>
      <w:r w:rsidRPr="001152C4">
        <w:rPr>
          <w:i/>
          <w:sz w:val="22"/>
          <w:lang w:val="es-PY"/>
        </w:rPr>
        <w:t>n aquellos casos en que la consecución de los objetivos definidos requiera introducir, directa o indirectamente, algún tipo de restricciones a la competencia, debería ser condición necesaria para su aprobación la justificación de la necesidad de tales restricciones. Al fin y al cabo, como hemos mencionado, la libertad de empresa y el buen funcionamiento del mercado son objetivos a cuya defensa también vienen obligados los poderes públicos</w:t>
      </w:r>
      <w:r w:rsidRPr="001152C4">
        <w:rPr>
          <w:sz w:val="22"/>
          <w:vertAlign w:val="superscript"/>
          <w:lang w:val="es-PY"/>
        </w:rPr>
        <w:footnoteReference w:id="68"/>
      </w:r>
      <w:r w:rsidRPr="001152C4">
        <w:rPr>
          <w:sz w:val="22"/>
          <w:lang w:val="es-PY"/>
        </w:rPr>
        <w:t xml:space="preserve">. </w:t>
      </w:r>
    </w:p>
    <w:p w14:paraId="58331A43" w14:textId="65A1E9F3" w:rsidR="00620B02" w:rsidRPr="001152C4" w:rsidRDefault="00620B02" w:rsidP="00620B02">
      <w:pPr>
        <w:rPr>
          <w:sz w:val="22"/>
          <w:lang w:val="es-PY"/>
        </w:rPr>
      </w:pPr>
      <w:r w:rsidRPr="001152C4">
        <w:rPr>
          <w:sz w:val="22"/>
          <w:lang w:val="es-PY"/>
        </w:rPr>
        <w:t>La CONACOM ha adoptado en sus opiniones la práctica de realizar el análisis de la justificación en base a los principios para una regulación eficiente de necesidad, proporcionalidad y neutralidad, que han permitido a la institución formular conclusiones sobre el impacto a la competencia de las restricciones y emitir recomendaciones.</w:t>
      </w:r>
      <w:r w:rsidR="001C6630" w:rsidRPr="001152C4">
        <w:rPr>
          <w:sz w:val="22"/>
          <w:lang w:val="es-PY"/>
        </w:rPr>
        <w:t xml:space="preserve"> </w:t>
      </w:r>
    </w:p>
    <w:p w14:paraId="191CF924" w14:textId="44553140" w:rsidR="001C6630" w:rsidRPr="001152C4" w:rsidRDefault="001C6630" w:rsidP="001C6630">
      <w:pPr>
        <w:rPr>
          <w:sz w:val="22"/>
          <w:lang w:val="es-PY"/>
        </w:rPr>
      </w:pPr>
      <w:r w:rsidRPr="001152C4">
        <w:rPr>
          <w:sz w:val="22"/>
          <w:lang w:val="es-PY"/>
        </w:rPr>
        <w:t xml:space="preserve">La autoridad de competencia española resalta que, si bien el análisis podría realizarse con un enfoque cuantitativo, el mero ejercicio teórico también puede generar un gran impacto, forzando a la reflexión consciente por parte de los reguladores y la opinión pública de las medidas adoptadas, evitando restricciones a la competencia </w:t>
      </w:r>
      <w:r w:rsidRPr="001152C4">
        <w:rPr>
          <w:i/>
          <w:iCs/>
          <w:sz w:val="22"/>
          <w:lang w:val="es-PY"/>
        </w:rPr>
        <w:t>gratuitas</w:t>
      </w:r>
      <w:r w:rsidRPr="001152C4">
        <w:rPr>
          <w:sz w:val="22"/>
          <w:lang w:val="es-PY"/>
        </w:rPr>
        <w:t xml:space="preserve"> y ofreciendo parámetros para la evaluación posterior de la eficacia de la norma</w:t>
      </w:r>
      <w:r w:rsidRPr="001152C4">
        <w:rPr>
          <w:rStyle w:val="Refdenotaalpie"/>
          <w:sz w:val="22"/>
          <w:lang w:val="es-PY"/>
        </w:rPr>
        <w:footnoteReference w:id="69"/>
      </w:r>
      <w:r w:rsidRPr="001152C4">
        <w:rPr>
          <w:sz w:val="22"/>
          <w:lang w:val="es-PY"/>
        </w:rPr>
        <w:t xml:space="preserve">. </w:t>
      </w:r>
    </w:p>
    <w:p w14:paraId="7F0D81A2" w14:textId="45A38F9D" w:rsidR="006830FD" w:rsidRPr="001152C4" w:rsidRDefault="006830FD" w:rsidP="00BD08A1">
      <w:pPr>
        <w:pStyle w:val="Ttulo2"/>
      </w:pPr>
      <w:bookmarkStart w:id="44" w:name="_Toc160698861"/>
      <w:r w:rsidRPr="001152C4">
        <w:t>Principio de necesidad</w:t>
      </w:r>
      <w:bookmarkEnd w:id="44"/>
    </w:p>
    <w:p w14:paraId="61486EAF" w14:textId="2BDC4BCE" w:rsidR="00620B02" w:rsidRPr="001152C4" w:rsidRDefault="00620B02" w:rsidP="00620B02">
      <w:pPr>
        <w:rPr>
          <w:sz w:val="22"/>
          <w:lang w:val="es-PY"/>
        </w:rPr>
      </w:pPr>
      <w:r w:rsidRPr="001152C4">
        <w:rPr>
          <w:sz w:val="22"/>
          <w:lang w:val="es-PY"/>
        </w:rPr>
        <w:t xml:space="preserve">Por la aplicación del </w:t>
      </w:r>
      <w:r w:rsidRPr="001152C4">
        <w:rPr>
          <w:bCs/>
          <w:sz w:val="22"/>
          <w:lang w:val="es-PY"/>
        </w:rPr>
        <w:t>principio de necesidad</w:t>
      </w:r>
      <w:r w:rsidRPr="001152C4">
        <w:rPr>
          <w:sz w:val="22"/>
          <w:lang w:val="es-PY"/>
        </w:rPr>
        <w:t xml:space="preserve">, </w:t>
      </w:r>
      <w:r w:rsidRPr="001152C4">
        <w:rPr>
          <w:iCs/>
          <w:sz w:val="22"/>
          <w:lang w:val="es-PY"/>
        </w:rPr>
        <w:t>[...]</w:t>
      </w:r>
      <w:r w:rsidRPr="001152C4">
        <w:rPr>
          <w:i/>
          <w:sz w:val="22"/>
          <w:lang w:val="es-PY"/>
        </w:rPr>
        <w:t xml:space="preserve"> la meta de la regulación debe ser corregir un fallo de mercado o lograr un objetivo de interés general que el mercado no logra satisfacer por sí solo. La regulación debe estar claramente enfocada a dicha meta (</w:t>
      </w:r>
      <w:proofErr w:type="spellStart"/>
      <w:r w:rsidRPr="001152C4">
        <w:rPr>
          <w:i/>
          <w:sz w:val="22"/>
          <w:lang w:val="es-PY"/>
        </w:rPr>
        <w:t>targeted</w:t>
      </w:r>
      <w:proofErr w:type="spellEnd"/>
      <w:r w:rsidRPr="001152C4">
        <w:rPr>
          <w:i/>
          <w:sz w:val="22"/>
          <w:lang w:val="es-PY"/>
        </w:rPr>
        <w:t>)</w:t>
      </w:r>
      <w:r w:rsidRPr="001152C4">
        <w:rPr>
          <w:sz w:val="22"/>
          <w:vertAlign w:val="superscript"/>
          <w:lang w:val="es-PY"/>
        </w:rPr>
        <w:footnoteReference w:id="70"/>
      </w:r>
      <w:r w:rsidRPr="001152C4">
        <w:rPr>
          <w:sz w:val="22"/>
          <w:lang w:val="es-PY"/>
        </w:rPr>
        <w:t>. Una intervención en la actividad económica se considera necesaria, por ejemplo, si existen fallos del mercado o un interés</w:t>
      </w:r>
      <w:r w:rsidR="00AA6601" w:rsidRPr="001152C4">
        <w:rPr>
          <w:sz w:val="22"/>
          <w:lang w:val="es-PY"/>
        </w:rPr>
        <w:t xml:space="preserve"> general</w:t>
      </w:r>
      <w:r w:rsidRPr="001152C4">
        <w:rPr>
          <w:sz w:val="22"/>
          <w:lang w:val="es-PY"/>
        </w:rPr>
        <w:t xml:space="preserve"> que busca precautelarse. </w:t>
      </w:r>
    </w:p>
    <w:p w14:paraId="45B8BFD4" w14:textId="3D8BD6C5" w:rsidR="00E5775F" w:rsidRPr="001152C4" w:rsidRDefault="00E5775F" w:rsidP="00620B02">
      <w:pPr>
        <w:rPr>
          <w:sz w:val="22"/>
          <w:lang w:val="es-PY"/>
        </w:rPr>
      </w:pPr>
      <w:r w:rsidRPr="001152C4">
        <w:rPr>
          <w:sz w:val="22"/>
          <w:lang w:val="es-PY"/>
        </w:rPr>
        <w:t xml:space="preserve">La aplicación del principio de necesidad requiere precisamente definir cuál es el objetivo de la norma bajo análisis y </w:t>
      </w:r>
      <w:r w:rsidR="00225117">
        <w:rPr>
          <w:sz w:val="22"/>
          <w:lang w:val="es-PY"/>
        </w:rPr>
        <w:t>determinar</w:t>
      </w:r>
      <w:r w:rsidR="00225117" w:rsidRPr="001152C4">
        <w:rPr>
          <w:sz w:val="22"/>
          <w:lang w:val="es-PY"/>
        </w:rPr>
        <w:t xml:space="preserve"> </w:t>
      </w:r>
      <w:r w:rsidRPr="001152C4">
        <w:rPr>
          <w:sz w:val="22"/>
          <w:lang w:val="es-PY"/>
        </w:rPr>
        <w:t xml:space="preserve">si dicho objetivo es admisible y si se cumple efectivamente. </w:t>
      </w:r>
    </w:p>
    <w:p w14:paraId="72011AE7" w14:textId="45F25B61" w:rsidR="00024432" w:rsidRPr="001152C4" w:rsidRDefault="00E5775F" w:rsidP="00BD08A1">
      <w:pPr>
        <w:pStyle w:val="Ttulo3"/>
      </w:pPr>
      <w:bookmarkStart w:id="45" w:name="_Toc160698862"/>
      <w:r w:rsidRPr="001152C4">
        <w:lastRenderedPageBreak/>
        <w:t>Admisibilidad del objetivo</w:t>
      </w:r>
      <w:bookmarkEnd w:id="45"/>
    </w:p>
    <w:p w14:paraId="039A1A02" w14:textId="77777777" w:rsidR="00C10FC2" w:rsidRPr="001152C4" w:rsidRDefault="00C10FC2" w:rsidP="00C10FC2">
      <w:pPr>
        <w:rPr>
          <w:sz w:val="22"/>
          <w:lang w:val="es-ES_tradnl"/>
        </w:rPr>
      </w:pPr>
      <w:r w:rsidRPr="001152C4">
        <w:rPr>
          <w:sz w:val="22"/>
          <w:lang w:val="es-ES_tradnl"/>
        </w:rPr>
        <w:t xml:space="preserve">El objetivo de la norma es admisible si busca corregir un fallo de mercado o lograr un objetivo de interés económico general. </w:t>
      </w:r>
    </w:p>
    <w:p w14:paraId="5AE7331B" w14:textId="2AC81029" w:rsidR="00C10FC2" w:rsidRPr="001152C4" w:rsidRDefault="00C10FC2" w:rsidP="00C10FC2">
      <w:pPr>
        <w:pStyle w:val="Ttulo4"/>
        <w:rPr>
          <w:sz w:val="22"/>
          <w:lang w:val="es-ES_tradnl"/>
        </w:rPr>
      </w:pPr>
      <w:r w:rsidRPr="001152C4">
        <w:rPr>
          <w:sz w:val="22"/>
          <w:lang w:val="es-ES_tradnl"/>
        </w:rPr>
        <w:t>Fallos de mercado</w:t>
      </w:r>
    </w:p>
    <w:p w14:paraId="5F411BE4" w14:textId="49E46AEF" w:rsidR="00E5775F" w:rsidRPr="001152C4" w:rsidRDefault="00C10FC2" w:rsidP="00C10FC2">
      <w:pPr>
        <w:rPr>
          <w:sz w:val="22"/>
          <w:lang w:val="es-ES_tradnl"/>
        </w:rPr>
      </w:pPr>
      <w:r w:rsidRPr="001152C4">
        <w:rPr>
          <w:sz w:val="22"/>
          <w:lang w:val="es-ES_tradnl"/>
        </w:rPr>
        <w:t xml:space="preserve">Los fallos de mercado son </w:t>
      </w:r>
      <w:r w:rsidRPr="001152C4">
        <w:rPr>
          <w:i/>
          <w:iCs/>
          <w:sz w:val="22"/>
          <w:lang w:val="es-ES_tradnl"/>
        </w:rPr>
        <w:t>situaciones en las que los mercados, por distintas circunstancias […] de tipo estructural, no pueden funcionar correctamente, y por tanto no se consiguen los resultados óptimos de un mercado en competencia</w:t>
      </w:r>
      <w:r w:rsidRPr="001152C4">
        <w:rPr>
          <w:rStyle w:val="Refdenotaalpie"/>
          <w:sz w:val="22"/>
          <w:lang w:val="es-ES_tradnl"/>
        </w:rPr>
        <w:footnoteReference w:id="71"/>
      </w:r>
      <w:r w:rsidRPr="001152C4">
        <w:rPr>
          <w:sz w:val="22"/>
          <w:lang w:val="es-ES_tradnl"/>
        </w:rPr>
        <w:t xml:space="preserve">. </w:t>
      </w:r>
    </w:p>
    <w:p w14:paraId="1BE876E7" w14:textId="7BCBC2D0" w:rsidR="00C10FC2" w:rsidRPr="001152C4" w:rsidRDefault="001C0053" w:rsidP="00E5775F">
      <w:pPr>
        <w:rPr>
          <w:sz w:val="22"/>
          <w:lang w:val="es-ES_tradnl"/>
        </w:rPr>
      </w:pPr>
      <w:r w:rsidRPr="001152C4">
        <w:rPr>
          <w:sz w:val="22"/>
          <w:lang w:val="es-ES_tradnl"/>
        </w:rPr>
        <w:t xml:space="preserve">Uno de los casos </w:t>
      </w:r>
      <w:r w:rsidR="00AA6601" w:rsidRPr="001152C4">
        <w:rPr>
          <w:sz w:val="22"/>
          <w:lang w:val="es-ES_tradnl"/>
        </w:rPr>
        <w:t>más com</w:t>
      </w:r>
      <w:r w:rsidRPr="001152C4">
        <w:rPr>
          <w:sz w:val="22"/>
          <w:lang w:val="es-ES_tradnl"/>
        </w:rPr>
        <w:t>u</w:t>
      </w:r>
      <w:r w:rsidR="00AA6601" w:rsidRPr="001152C4">
        <w:rPr>
          <w:sz w:val="22"/>
          <w:lang w:val="es-ES_tradnl"/>
        </w:rPr>
        <w:t>n</w:t>
      </w:r>
      <w:r w:rsidRPr="001152C4">
        <w:rPr>
          <w:sz w:val="22"/>
          <w:lang w:val="es-ES_tradnl"/>
        </w:rPr>
        <w:t>es</w:t>
      </w:r>
      <w:r w:rsidR="00AA6601" w:rsidRPr="001152C4">
        <w:rPr>
          <w:sz w:val="22"/>
          <w:lang w:val="es-ES_tradnl"/>
        </w:rPr>
        <w:t xml:space="preserve"> de fallo de mercado es la presencia de externalidades, cuando un bien o servicio conlleva </w:t>
      </w:r>
      <w:r w:rsidR="0068748F" w:rsidRPr="001152C4">
        <w:rPr>
          <w:sz w:val="22"/>
          <w:lang w:val="es-ES_tradnl"/>
        </w:rPr>
        <w:t>efectos colaterales sobre terceros que ni la empresa ni el consumidor tienen en cuenta</w:t>
      </w:r>
      <w:r w:rsidR="0068748F" w:rsidRPr="001152C4">
        <w:rPr>
          <w:rStyle w:val="Refdenotaalpie"/>
          <w:sz w:val="22"/>
          <w:lang w:val="es-ES_tradnl"/>
        </w:rPr>
        <w:footnoteReference w:id="72"/>
      </w:r>
      <w:r w:rsidR="00AA6601" w:rsidRPr="001152C4">
        <w:rPr>
          <w:sz w:val="22"/>
          <w:lang w:val="es-ES_tradnl"/>
        </w:rPr>
        <w:t xml:space="preserve">. Las externalidades pueden ser negativas, como la contaminación del medio ambiente; o positivas, como la </w:t>
      </w:r>
      <w:r w:rsidR="0068748F" w:rsidRPr="001152C4">
        <w:rPr>
          <w:sz w:val="22"/>
          <w:lang w:val="es-ES_tradnl"/>
        </w:rPr>
        <w:t>promo</w:t>
      </w:r>
      <w:r w:rsidR="00321BB1">
        <w:rPr>
          <w:sz w:val="22"/>
          <w:lang w:val="es-ES_tradnl"/>
        </w:rPr>
        <w:t>ción de</w:t>
      </w:r>
      <w:r w:rsidR="0068748F" w:rsidRPr="001152C4">
        <w:rPr>
          <w:sz w:val="22"/>
          <w:lang w:val="es-ES_tradnl"/>
        </w:rPr>
        <w:t xml:space="preserve"> </w:t>
      </w:r>
      <w:r w:rsidR="00AA6601" w:rsidRPr="001152C4">
        <w:rPr>
          <w:sz w:val="22"/>
          <w:lang w:val="es-ES_tradnl"/>
        </w:rPr>
        <w:t xml:space="preserve">la </w:t>
      </w:r>
      <w:r w:rsidR="0068748F" w:rsidRPr="001152C4">
        <w:rPr>
          <w:sz w:val="22"/>
          <w:lang w:val="es-ES_tradnl"/>
        </w:rPr>
        <w:t xml:space="preserve">educación </w:t>
      </w:r>
      <w:r w:rsidR="00AA6601" w:rsidRPr="001152C4">
        <w:rPr>
          <w:sz w:val="22"/>
          <w:lang w:val="es-ES_tradnl"/>
        </w:rPr>
        <w:t>o investigación</w:t>
      </w:r>
      <w:r w:rsidR="0068748F" w:rsidRPr="001152C4">
        <w:rPr>
          <w:rStyle w:val="Refdenotaalpie"/>
          <w:sz w:val="22"/>
          <w:lang w:val="es-ES_tradnl"/>
        </w:rPr>
        <w:footnoteReference w:id="73"/>
      </w:r>
      <w:r w:rsidR="00AA6601" w:rsidRPr="001152C4">
        <w:rPr>
          <w:sz w:val="22"/>
          <w:lang w:val="es-ES_tradnl"/>
        </w:rPr>
        <w:t xml:space="preserve">. </w:t>
      </w:r>
    </w:p>
    <w:p w14:paraId="3D1422DC" w14:textId="79A1D081" w:rsidR="0068748F" w:rsidRPr="001152C4" w:rsidRDefault="0068748F" w:rsidP="00E5775F">
      <w:pPr>
        <w:rPr>
          <w:sz w:val="22"/>
          <w:lang w:val="es-ES_tradnl"/>
        </w:rPr>
      </w:pPr>
      <w:r w:rsidRPr="001152C4">
        <w:rPr>
          <w:sz w:val="22"/>
          <w:lang w:val="es-ES_tradnl"/>
        </w:rPr>
        <w:t>Otro fallo de mercado es la presencia de bienes públicos</w:t>
      </w:r>
      <w:r w:rsidR="00175C0E" w:rsidRPr="001152C4">
        <w:rPr>
          <w:sz w:val="22"/>
          <w:lang w:val="es-ES_tradnl"/>
        </w:rPr>
        <w:t xml:space="preserve">, como el acceso a las redes de telecomunicaciones o los recursos naturales, que ameritan </w:t>
      </w:r>
      <w:r w:rsidR="00626199" w:rsidRPr="001152C4">
        <w:rPr>
          <w:sz w:val="22"/>
          <w:lang w:val="es-ES_tradnl"/>
        </w:rPr>
        <w:t xml:space="preserve">cierta </w:t>
      </w:r>
      <w:r w:rsidR="00175C0E" w:rsidRPr="001152C4">
        <w:rPr>
          <w:sz w:val="22"/>
          <w:lang w:val="es-ES_tradnl"/>
        </w:rPr>
        <w:t xml:space="preserve">intervención </w:t>
      </w:r>
      <w:r w:rsidR="00626199" w:rsidRPr="001152C4">
        <w:rPr>
          <w:sz w:val="22"/>
          <w:lang w:val="es-ES_tradnl"/>
        </w:rPr>
        <w:t xml:space="preserve">estatal </w:t>
      </w:r>
      <w:r w:rsidR="001C0053" w:rsidRPr="001152C4">
        <w:rPr>
          <w:sz w:val="22"/>
          <w:lang w:val="es-ES_tradnl"/>
        </w:rPr>
        <w:t>para un mejor aprovechamiento</w:t>
      </w:r>
      <w:r w:rsidR="001C0053" w:rsidRPr="001152C4">
        <w:rPr>
          <w:rStyle w:val="Refdenotaalpie"/>
          <w:sz w:val="22"/>
          <w:lang w:val="es-ES_tradnl"/>
        </w:rPr>
        <w:footnoteReference w:id="74"/>
      </w:r>
      <w:r w:rsidR="001C0053" w:rsidRPr="001152C4">
        <w:rPr>
          <w:sz w:val="22"/>
          <w:lang w:val="es-ES_tradnl"/>
        </w:rPr>
        <w:t xml:space="preserve">. </w:t>
      </w:r>
    </w:p>
    <w:p w14:paraId="0F6CAF31" w14:textId="1852C210" w:rsidR="001C0053" w:rsidRDefault="001C0053" w:rsidP="00E5775F">
      <w:pPr>
        <w:rPr>
          <w:sz w:val="22"/>
          <w:lang w:val="es-ES_tradnl"/>
        </w:rPr>
      </w:pPr>
      <w:r w:rsidRPr="001152C4">
        <w:rPr>
          <w:sz w:val="22"/>
          <w:lang w:val="es-ES_tradnl"/>
        </w:rPr>
        <w:t xml:space="preserve">La asimetría de la información es otro fallo de mercado que puede atenderse a través de la regulación. En algunos mercados, </w:t>
      </w:r>
      <w:r w:rsidR="00CD313C" w:rsidRPr="001152C4">
        <w:rPr>
          <w:sz w:val="22"/>
          <w:lang w:val="es-ES_tradnl"/>
        </w:rPr>
        <w:t xml:space="preserve">puede ser necesario </w:t>
      </w:r>
      <w:r w:rsidRPr="001152C4">
        <w:rPr>
          <w:sz w:val="22"/>
          <w:lang w:val="es-ES_tradnl"/>
        </w:rPr>
        <w:t>revela</w:t>
      </w:r>
      <w:r w:rsidR="00CD313C" w:rsidRPr="001152C4">
        <w:rPr>
          <w:sz w:val="22"/>
          <w:lang w:val="es-ES_tradnl"/>
        </w:rPr>
        <w:t xml:space="preserve">r públicamente </w:t>
      </w:r>
      <w:r w:rsidRPr="001152C4">
        <w:rPr>
          <w:sz w:val="22"/>
          <w:lang w:val="es-ES_tradnl"/>
        </w:rPr>
        <w:t xml:space="preserve">cierta información que permita a los consumidores tomar buenas decisiones. </w:t>
      </w:r>
      <w:r w:rsidR="00CD313C" w:rsidRPr="001152C4">
        <w:rPr>
          <w:sz w:val="22"/>
          <w:lang w:val="es-ES_tradnl"/>
        </w:rPr>
        <w:t xml:space="preserve">Esto se observa, por ejemplo, en los mercados financieros, existiendo estándares de información pública que deben estar al alcance de consumidores reales y potenciales. </w:t>
      </w:r>
      <w:r w:rsidRPr="001152C4">
        <w:rPr>
          <w:sz w:val="22"/>
          <w:lang w:val="es-ES_tradnl"/>
        </w:rPr>
        <w:t xml:space="preserve">En este sentido, debe buscarse un punto de equilibrio entre esta necesidad </w:t>
      </w:r>
      <w:r w:rsidR="00CD313C" w:rsidRPr="001152C4">
        <w:rPr>
          <w:sz w:val="22"/>
          <w:lang w:val="es-ES_tradnl"/>
        </w:rPr>
        <w:t xml:space="preserve">de información </w:t>
      </w:r>
      <w:r w:rsidRPr="001152C4">
        <w:rPr>
          <w:sz w:val="22"/>
          <w:lang w:val="es-ES_tradnl"/>
        </w:rPr>
        <w:t xml:space="preserve">y un exceso de información que pueda facilitar prácticas anticompetitivas, protegiendo </w:t>
      </w:r>
      <w:r w:rsidR="00CD313C" w:rsidRPr="001152C4">
        <w:rPr>
          <w:sz w:val="22"/>
          <w:lang w:val="es-ES_tradnl"/>
        </w:rPr>
        <w:t xml:space="preserve">aquella </w:t>
      </w:r>
      <w:r w:rsidRPr="001152C4">
        <w:rPr>
          <w:sz w:val="22"/>
          <w:lang w:val="es-ES_tradnl"/>
        </w:rPr>
        <w:t>información que pueda ser sensible</w:t>
      </w:r>
      <w:r w:rsidR="00CD313C" w:rsidRPr="001152C4">
        <w:rPr>
          <w:rStyle w:val="Refdenotaalpie"/>
          <w:sz w:val="22"/>
          <w:lang w:val="es-ES_tradnl"/>
        </w:rPr>
        <w:footnoteReference w:id="75"/>
      </w:r>
      <w:r w:rsidRPr="001152C4">
        <w:rPr>
          <w:sz w:val="22"/>
          <w:lang w:val="es-ES_tradnl"/>
        </w:rPr>
        <w:t xml:space="preserve">. </w:t>
      </w:r>
    </w:p>
    <w:p w14:paraId="3F745506" w14:textId="14079F20" w:rsidR="00EF0C93" w:rsidRPr="001152C4" w:rsidRDefault="000D724C" w:rsidP="00E5775F">
      <w:pPr>
        <w:rPr>
          <w:sz w:val="22"/>
          <w:lang w:val="es-ES_tradnl"/>
        </w:rPr>
      </w:pPr>
      <w:r>
        <w:rPr>
          <w:sz w:val="22"/>
          <w:lang w:val="es-ES_tradnl"/>
        </w:rPr>
        <w:t>L</w:t>
      </w:r>
      <w:r w:rsidR="00EF0C93">
        <w:rPr>
          <w:sz w:val="22"/>
          <w:lang w:val="es-ES_tradnl"/>
        </w:rPr>
        <w:t>as industrias de red</w:t>
      </w:r>
      <w:r>
        <w:rPr>
          <w:sz w:val="22"/>
          <w:lang w:val="es-ES_tradnl"/>
        </w:rPr>
        <w:t>, por ejemplo,</w:t>
      </w:r>
      <w:r w:rsidR="00EF0C93">
        <w:rPr>
          <w:sz w:val="22"/>
          <w:lang w:val="es-ES_tradnl"/>
        </w:rPr>
        <w:t xml:space="preserve"> presentan una suerte de fallo de mercado en cuanto que los niveles de inversión y generación de costos hundidos hacen muy poco viable, desde el punto de vista económico, la duplicación de infraestructura de red, puesto que se duplican </w:t>
      </w:r>
      <w:proofErr w:type="gramStart"/>
      <w:r w:rsidR="00EF0C93">
        <w:rPr>
          <w:sz w:val="22"/>
          <w:lang w:val="es-ES_tradnl"/>
        </w:rPr>
        <w:t>costos</w:t>
      </w:r>
      <w:proofErr w:type="gramEnd"/>
      <w:r w:rsidR="00EF0C93">
        <w:rPr>
          <w:sz w:val="22"/>
          <w:lang w:val="es-ES_tradnl"/>
        </w:rPr>
        <w:t xml:space="preserve"> pero en menor relación a los ingresos, por lo que se generan monopolios naturales en casos extremos y oligopolios naturales en muchos de los casos</w:t>
      </w:r>
      <w:r w:rsidR="00EF0C93">
        <w:rPr>
          <w:rStyle w:val="Refdenotaalpie"/>
          <w:sz w:val="22"/>
          <w:lang w:val="es-ES_tradnl"/>
        </w:rPr>
        <w:footnoteReference w:id="76"/>
      </w:r>
      <w:r w:rsidR="00EF0C93">
        <w:rPr>
          <w:sz w:val="22"/>
          <w:lang w:val="es-ES_tradnl"/>
        </w:rPr>
        <w:t>.</w:t>
      </w:r>
    </w:p>
    <w:p w14:paraId="6C80FDBC" w14:textId="27DA5035" w:rsidR="00C10FC2" w:rsidRPr="001152C4" w:rsidRDefault="00C10FC2" w:rsidP="00C10FC2">
      <w:pPr>
        <w:pStyle w:val="Ttulo4"/>
        <w:rPr>
          <w:sz w:val="22"/>
          <w:lang w:val="es-ES_tradnl"/>
        </w:rPr>
      </w:pPr>
      <w:r w:rsidRPr="001152C4">
        <w:rPr>
          <w:sz w:val="22"/>
          <w:lang w:val="es-ES_tradnl"/>
        </w:rPr>
        <w:lastRenderedPageBreak/>
        <w:t>Objetivos de interés económico general</w:t>
      </w:r>
    </w:p>
    <w:p w14:paraId="7D43B6D3" w14:textId="77962794" w:rsidR="00CD313C" w:rsidRPr="001152C4" w:rsidRDefault="00CD313C" w:rsidP="00CD313C">
      <w:pPr>
        <w:rPr>
          <w:sz w:val="22"/>
          <w:lang w:val="es-ES_tradnl"/>
        </w:rPr>
      </w:pPr>
      <w:bookmarkStart w:id="46" w:name="_Hlk138148739"/>
      <w:r w:rsidRPr="001152C4">
        <w:rPr>
          <w:sz w:val="22"/>
          <w:lang w:val="es-ES_tradnl"/>
        </w:rPr>
        <w:t>Existen casos en que la intervención pública es necesaria para corregir el resultado de las operaciones del mercado, en el caso de que las soluciones eficientes no sean las mejores soluciones sociales. Algunas razones de interés económico general son la protección del patrimonio histórico (que, por ejemplo, podría restringir la libre venta de un edificio), la seguridad y la defensa nacional (que podría limitar el libre comercio de ciertos productos bélicos), la salud pública (que podría derivar en una restricción o un subsidio a la comercialización de ciertos medicamentos), entre otros</w:t>
      </w:r>
      <w:bookmarkEnd w:id="46"/>
      <w:r w:rsidRPr="001152C4">
        <w:rPr>
          <w:sz w:val="22"/>
          <w:lang w:val="es-ES_tradnl"/>
        </w:rPr>
        <w:t xml:space="preserve">. </w:t>
      </w:r>
    </w:p>
    <w:p w14:paraId="490228F8" w14:textId="6D36DE89" w:rsidR="00E5775F" w:rsidRPr="001152C4" w:rsidRDefault="00C10FC2" w:rsidP="00BD08A1">
      <w:pPr>
        <w:pStyle w:val="Ttulo3"/>
      </w:pPr>
      <w:bookmarkStart w:id="47" w:name="_Toc160698863"/>
      <w:r w:rsidRPr="001152C4">
        <w:t xml:space="preserve">Efectividad </w:t>
      </w:r>
      <w:r w:rsidR="00E5775F" w:rsidRPr="001152C4">
        <w:t>de la norma</w:t>
      </w:r>
      <w:bookmarkEnd w:id="47"/>
    </w:p>
    <w:p w14:paraId="288EBDF3" w14:textId="2528C021" w:rsidR="00E5775F" w:rsidRPr="001152C4" w:rsidRDefault="009127E1" w:rsidP="00C10FC2">
      <w:pPr>
        <w:pStyle w:val="Ttulo4"/>
        <w:rPr>
          <w:sz w:val="22"/>
          <w:lang w:val="es-ES_tradnl"/>
        </w:rPr>
      </w:pPr>
      <w:r w:rsidRPr="001152C4">
        <w:rPr>
          <w:sz w:val="22"/>
          <w:lang w:val="es-ES_tradnl"/>
        </w:rPr>
        <w:t>C</w:t>
      </w:r>
      <w:r w:rsidR="00C10FC2" w:rsidRPr="001152C4">
        <w:rPr>
          <w:sz w:val="22"/>
          <w:lang w:val="es-ES_tradnl"/>
        </w:rPr>
        <w:t>umplimiento de objetivo</w:t>
      </w:r>
    </w:p>
    <w:p w14:paraId="0E09CE54" w14:textId="099C467E" w:rsidR="00C10FC2" w:rsidRPr="001152C4" w:rsidRDefault="009127E1" w:rsidP="00EF3508">
      <w:pPr>
        <w:rPr>
          <w:sz w:val="22"/>
          <w:lang w:val="es-ES_tradnl"/>
        </w:rPr>
      </w:pPr>
      <w:bookmarkStart w:id="48" w:name="_Hlk138148773"/>
      <w:r w:rsidRPr="001152C4">
        <w:rPr>
          <w:sz w:val="22"/>
          <w:lang w:val="es-ES_tradnl"/>
        </w:rPr>
        <w:t>La efectividad de la norma se refiere a la capacidad de lograr el objetivo pretendido. Si la norma no logrará el objetivo alegado o lo logrará de forma parcial, puede considerarse que la norma no es plenamente efectiva y amerita</w:t>
      </w:r>
      <w:r w:rsidR="00225117">
        <w:rPr>
          <w:sz w:val="22"/>
          <w:lang w:val="es-ES_tradnl"/>
        </w:rPr>
        <w:t xml:space="preserve"> que el regulador reconsidere </w:t>
      </w:r>
      <w:r w:rsidRPr="001152C4">
        <w:rPr>
          <w:sz w:val="22"/>
          <w:lang w:val="es-ES_tradnl"/>
        </w:rPr>
        <w:t xml:space="preserve">su imposición. </w:t>
      </w:r>
      <w:r w:rsidR="00CA64AF" w:rsidRPr="001152C4">
        <w:rPr>
          <w:sz w:val="22"/>
          <w:lang w:val="es-ES_tradnl"/>
        </w:rPr>
        <w:t xml:space="preserve">Por ejemplo, la CONACOM cuestionó en oportunidad del análisis del subsidio otorgado a </w:t>
      </w:r>
      <w:proofErr w:type="spellStart"/>
      <w:r w:rsidR="00CA64AF" w:rsidRPr="001152C4">
        <w:rPr>
          <w:sz w:val="22"/>
          <w:lang w:val="es-ES_tradnl"/>
        </w:rPr>
        <w:t>Petropar</w:t>
      </w:r>
      <w:proofErr w:type="spellEnd"/>
      <w:r w:rsidR="00CA64AF" w:rsidRPr="001152C4">
        <w:rPr>
          <w:sz w:val="22"/>
          <w:lang w:val="es-ES_tradnl"/>
        </w:rPr>
        <w:t xml:space="preserve"> en 2022 si la necesidad declarada podría cumplirse efectivamente </w:t>
      </w:r>
      <w:r w:rsidR="00C32664" w:rsidRPr="001152C4">
        <w:rPr>
          <w:sz w:val="22"/>
          <w:lang w:val="es-ES_tradnl"/>
        </w:rPr>
        <w:t xml:space="preserve">o si el impacto </w:t>
      </w:r>
      <w:proofErr w:type="gramStart"/>
      <w:r w:rsidR="00C32664" w:rsidRPr="001152C4">
        <w:rPr>
          <w:sz w:val="22"/>
          <w:lang w:val="es-ES_tradnl"/>
        </w:rPr>
        <w:t>sería</w:t>
      </w:r>
      <w:proofErr w:type="gramEnd"/>
      <w:r w:rsidR="00C32664" w:rsidRPr="001152C4">
        <w:rPr>
          <w:sz w:val="22"/>
          <w:lang w:val="es-ES_tradnl"/>
        </w:rPr>
        <w:t xml:space="preserve"> reducido. Esto fue observado </w:t>
      </w:r>
      <w:r w:rsidR="00CA64AF" w:rsidRPr="001152C4">
        <w:rPr>
          <w:sz w:val="22"/>
          <w:lang w:val="es-ES_tradnl"/>
        </w:rPr>
        <w:t xml:space="preserve">atendiendo las cuotas de mercado de la empresa pública y </w:t>
      </w:r>
      <w:r w:rsidR="00C32664" w:rsidRPr="001152C4">
        <w:rPr>
          <w:sz w:val="22"/>
          <w:lang w:val="es-ES_tradnl"/>
        </w:rPr>
        <w:t xml:space="preserve">la infraestructura con la que contaba </w:t>
      </w:r>
      <w:proofErr w:type="spellStart"/>
      <w:r w:rsidR="00C32664" w:rsidRPr="001152C4">
        <w:rPr>
          <w:sz w:val="22"/>
          <w:lang w:val="es-ES_tradnl"/>
        </w:rPr>
        <w:t>Petropar</w:t>
      </w:r>
      <w:proofErr w:type="spellEnd"/>
      <w:r w:rsidR="00C32664" w:rsidRPr="001152C4">
        <w:rPr>
          <w:rStyle w:val="Refdenotaalpie"/>
          <w:sz w:val="22"/>
          <w:lang w:val="es-ES_tradnl"/>
        </w:rPr>
        <w:footnoteReference w:id="77"/>
      </w:r>
      <w:r w:rsidR="00C32664" w:rsidRPr="001152C4">
        <w:rPr>
          <w:sz w:val="22"/>
          <w:lang w:val="es-ES_tradnl"/>
        </w:rPr>
        <w:t xml:space="preserve">. </w:t>
      </w:r>
    </w:p>
    <w:p w14:paraId="7E578A24" w14:textId="4AACB8D0" w:rsidR="006830FD" w:rsidRPr="001152C4" w:rsidRDefault="006830FD" w:rsidP="00BD08A1">
      <w:pPr>
        <w:pStyle w:val="Ttulo2"/>
      </w:pPr>
      <w:bookmarkStart w:id="49" w:name="_Toc160698864"/>
      <w:bookmarkEnd w:id="48"/>
      <w:r w:rsidRPr="001152C4">
        <w:t>Principio de proporcionalidad</w:t>
      </w:r>
      <w:bookmarkEnd w:id="49"/>
    </w:p>
    <w:p w14:paraId="45861020" w14:textId="48C00A40" w:rsidR="001C6630" w:rsidRPr="001152C4" w:rsidRDefault="001C6630" w:rsidP="001C6630">
      <w:pPr>
        <w:rPr>
          <w:sz w:val="22"/>
          <w:lang w:val="es-PY"/>
        </w:rPr>
      </w:pPr>
      <w:bookmarkStart w:id="50" w:name="_Hlk138148820"/>
      <w:r w:rsidRPr="001152C4">
        <w:rPr>
          <w:sz w:val="22"/>
          <w:lang w:val="es-PY"/>
        </w:rPr>
        <w:t xml:space="preserve">Según el </w:t>
      </w:r>
      <w:r w:rsidRPr="001152C4">
        <w:rPr>
          <w:bCs/>
          <w:sz w:val="22"/>
          <w:lang w:val="es-PY"/>
        </w:rPr>
        <w:t>principio de proporcionalidad</w:t>
      </w:r>
      <w:r w:rsidRPr="001152C4">
        <w:rPr>
          <w:sz w:val="22"/>
          <w:lang w:val="es-PY"/>
        </w:rPr>
        <w:t>, [...]</w:t>
      </w:r>
      <w:r w:rsidRPr="001152C4">
        <w:rPr>
          <w:i/>
          <w:sz w:val="22"/>
          <w:lang w:val="es-PY"/>
        </w:rPr>
        <w:t xml:space="preserve"> será necesario reflexionar sobre la proporcionalidad de la restricción impuesta con el fin de evitar que la consecución de un objetivo que suponga sólo una mejora relativa o marginal en términos de bienestar social genere, en cambio, un serio detrimento al mismo por las serias restricciones a la actividad económica que impone</w:t>
      </w:r>
      <w:r w:rsidRPr="001152C4">
        <w:rPr>
          <w:sz w:val="22"/>
          <w:vertAlign w:val="superscript"/>
          <w:lang w:val="es-PY"/>
        </w:rPr>
        <w:footnoteReference w:id="78"/>
      </w:r>
      <w:r w:rsidRPr="001152C4">
        <w:rPr>
          <w:i/>
          <w:sz w:val="22"/>
          <w:lang w:val="es-PY"/>
        </w:rPr>
        <w:t>.</w:t>
      </w:r>
      <w:r w:rsidRPr="001152C4">
        <w:rPr>
          <w:sz w:val="22"/>
          <w:lang w:val="es-PY"/>
        </w:rPr>
        <w:t xml:space="preserve"> </w:t>
      </w:r>
    </w:p>
    <w:p w14:paraId="58E84681" w14:textId="0B92C542" w:rsidR="007B1C34" w:rsidRDefault="007B1C34" w:rsidP="001C6630">
      <w:pPr>
        <w:rPr>
          <w:sz w:val="22"/>
          <w:lang w:val="es-PY"/>
        </w:rPr>
      </w:pPr>
      <w:r w:rsidRPr="001152C4">
        <w:rPr>
          <w:sz w:val="22"/>
          <w:lang w:val="es-PY"/>
        </w:rPr>
        <w:t xml:space="preserve">El análisis de la proporcionalidad implica, en primer lugar, el análisis de </w:t>
      </w:r>
      <w:r w:rsidR="0066671B">
        <w:rPr>
          <w:sz w:val="22"/>
          <w:lang w:val="es-PY"/>
        </w:rPr>
        <w:t xml:space="preserve">las ventajas y desventajas de la normativa, estudiando el impacto en los distintos sectores que se consideran o considerarán afectados por la implementación de la normativa, </w:t>
      </w:r>
      <w:r w:rsidRPr="001152C4">
        <w:rPr>
          <w:sz w:val="22"/>
          <w:lang w:val="es-PY"/>
        </w:rPr>
        <w:t>de manera a comprender el impacto negativo en la competencia que la restricción generará con su implementación, pudiendo contrastarlo con los beneficios que se lograr</w:t>
      </w:r>
      <w:r w:rsidR="00B17053">
        <w:rPr>
          <w:sz w:val="22"/>
          <w:lang w:val="es-PY"/>
        </w:rPr>
        <w:t>ían</w:t>
      </w:r>
      <w:r w:rsidRPr="001152C4">
        <w:rPr>
          <w:sz w:val="22"/>
          <w:lang w:val="es-PY"/>
        </w:rPr>
        <w:t xml:space="preserve">. </w:t>
      </w:r>
    </w:p>
    <w:p w14:paraId="1E1FB7C9" w14:textId="7697CBA0" w:rsidR="0076363F" w:rsidRDefault="0066671B" w:rsidP="001C6630">
      <w:pPr>
        <w:rPr>
          <w:sz w:val="22"/>
          <w:lang w:val="es-PY"/>
        </w:rPr>
      </w:pPr>
      <w:r>
        <w:rPr>
          <w:sz w:val="22"/>
          <w:lang w:val="es-PY"/>
        </w:rPr>
        <w:lastRenderedPageBreak/>
        <w:t xml:space="preserve">Este ejercicio puede </w:t>
      </w:r>
      <w:r w:rsidRPr="00250D4A">
        <w:rPr>
          <w:sz w:val="22"/>
          <w:lang w:val="es-PY"/>
        </w:rPr>
        <w:t xml:space="preserve">incluir un análisis de los costos y beneficios </w:t>
      </w:r>
      <w:r w:rsidR="00605C11" w:rsidRPr="00250D4A">
        <w:rPr>
          <w:sz w:val="22"/>
          <w:lang w:val="es-PY"/>
        </w:rPr>
        <w:t xml:space="preserve">económicos </w:t>
      </w:r>
      <w:r w:rsidRPr="00250D4A">
        <w:rPr>
          <w:sz w:val="22"/>
          <w:lang w:val="es-PY"/>
        </w:rPr>
        <w:t xml:space="preserve">que genera la normativa. En este sentido, </w:t>
      </w:r>
      <w:r w:rsidR="00250D4A" w:rsidRPr="00497D0C">
        <w:rPr>
          <w:sz w:val="22"/>
          <w:lang w:val="es-PY"/>
        </w:rPr>
        <w:t>pueden calcularse los costos de cumplimiento de la normativa y compararse con los beneficios</w:t>
      </w:r>
      <w:r w:rsidR="00250D4A">
        <w:rPr>
          <w:sz w:val="22"/>
          <w:lang w:val="es-PY"/>
        </w:rPr>
        <w:t xml:space="preserve"> en que redundaría la regulación</w:t>
      </w:r>
      <w:r w:rsidRPr="00250D4A">
        <w:rPr>
          <w:sz w:val="22"/>
          <w:lang w:val="es-PY"/>
        </w:rPr>
        <w:t>, cuando</w:t>
      </w:r>
      <w:r>
        <w:rPr>
          <w:sz w:val="22"/>
          <w:lang w:val="es-PY"/>
        </w:rPr>
        <w:t xml:space="preserve"> el impacto sea cuantificable. Debe atenderse que, e</w:t>
      </w:r>
      <w:r w:rsidR="0076363F">
        <w:rPr>
          <w:sz w:val="22"/>
          <w:lang w:val="es-PY"/>
        </w:rPr>
        <w:t xml:space="preserve">n ocasiones, puede resultar complicado realizar un análisis económico cuando se </w:t>
      </w:r>
      <w:r w:rsidR="00C91D93">
        <w:rPr>
          <w:sz w:val="22"/>
          <w:lang w:val="es-PY"/>
        </w:rPr>
        <w:t>consideran</w:t>
      </w:r>
      <w:r w:rsidR="0076363F">
        <w:rPr>
          <w:sz w:val="22"/>
          <w:lang w:val="es-PY"/>
        </w:rPr>
        <w:t xml:space="preserve"> objetivos de interés general como la protección del patrimonio histórico</w:t>
      </w:r>
      <w:r w:rsidR="00C91D93">
        <w:rPr>
          <w:sz w:val="22"/>
          <w:lang w:val="es-PY"/>
        </w:rPr>
        <w:t xml:space="preserve">, en cuyo caso podría bastar un análisis cualitativo. </w:t>
      </w:r>
    </w:p>
    <w:p w14:paraId="00261047" w14:textId="18A6204A" w:rsidR="0054669A" w:rsidRPr="001152C4" w:rsidRDefault="0066671B" w:rsidP="001C6630">
      <w:pPr>
        <w:rPr>
          <w:sz w:val="22"/>
          <w:lang w:val="es-PY"/>
        </w:rPr>
      </w:pPr>
      <w:r>
        <w:rPr>
          <w:sz w:val="22"/>
          <w:lang w:val="es-PY"/>
        </w:rPr>
        <w:t xml:space="preserve">Debe tenerse en cuenta además que el análisis de </w:t>
      </w:r>
      <w:r w:rsidR="00300F06">
        <w:rPr>
          <w:sz w:val="22"/>
          <w:lang w:val="es-PY"/>
        </w:rPr>
        <w:t>ventajas</w:t>
      </w:r>
      <w:r w:rsidR="00C91D93">
        <w:rPr>
          <w:sz w:val="22"/>
          <w:lang w:val="es-PY"/>
        </w:rPr>
        <w:t xml:space="preserve"> y desventajas</w:t>
      </w:r>
      <w:r>
        <w:rPr>
          <w:sz w:val="22"/>
          <w:lang w:val="es-PY"/>
        </w:rPr>
        <w:t xml:space="preserve"> puede requerir, dependiendo de las circunstancias del caso, un estudio de las consecuencias que puede generar la implementación de la norma en mercados relacionados al sector en que se aplicará la regulació</w:t>
      </w:r>
      <w:r w:rsidR="002D6819">
        <w:rPr>
          <w:sz w:val="22"/>
          <w:lang w:val="es-PY"/>
        </w:rPr>
        <w:t xml:space="preserve">n, de manera a considerar los efectos indirectos de la </w:t>
      </w:r>
      <w:proofErr w:type="gramStart"/>
      <w:r w:rsidR="002D6819">
        <w:rPr>
          <w:sz w:val="22"/>
          <w:lang w:val="es-PY"/>
        </w:rPr>
        <w:t xml:space="preserve">normativa </w:t>
      </w:r>
      <w:r>
        <w:rPr>
          <w:sz w:val="22"/>
          <w:lang w:val="es-PY"/>
        </w:rPr>
        <w:t>.</w:t>
      </w:r>
      <w:proofErr w:type="gramEnd"/>
      <w:r>
        <w:rPr>
          <w:sz w:val="22"/>
          <w:lang w:val="es-PY"/>
        </w:rPr>
        <w:t xml:space="preserve"> </w:t>
      </w:r>
    </w:p>
    <w:p w14:paraId="0FDB9F1D" w14:textId="383169E9" w:rsidR="001C6630" w:rsidRPr="001152C4" w:rsidRDefault="007B1C34" w:rsidP="001C6630">
      <w:pPr>
        <w:rPr>
          <w:sz w:val="22"/>
          <w:lang w:val="es-PY"/>
        </w:rPr>
      </w:pPr>
      <w:r w:rsidRPr="001152C4">
        <w:rPr>
          <w:sz w:val="22"/>
          <w:lang w:val="es-PY"/>
        </w:rPr>
        <w:t xml:space="preserve">Por otro lado, corresponde </w:t>
      </w:r>
      <w:r w:rsidR="001C6630" w:rsidRPr="001152C4">
        <w:rPr>
          <w:sz w:val="22"/>
          <w:lang w:val="es-PY"/>
        </w:rPr>
        <w:t>realizar además un análisis de las distintas alternativas que puedan ser efectivas para satisfacer la necesidad identificada y que se busca cubrir con la regulación</w:t>
      </w:r>
      <w:r w:rsidR="0054669A">
        <w:rPr>
          <w:sz w:val="22"/>
          <w:lang w:val="es-PY"/>
        </w:rPr>
        <w:t>, identificando y comparando los efectos positivos y restrictivos a la competencia en cada caso</w:t>
      </w:r>
      <w:r w:rsidR="001C6630" w:rsidRPr="001152C4">
        <w:rPr>
          <w:sz w:val="22"/>
          <w:lang w:val="es-PY"/>
        </w:rPr>
        <w:t>.</w:t>
      </w:r>
      <w:r w:rsidRPr="001152C4">
        <w:rPr>
          <w:sz w:val="22"/>
          <w:lang w:val="es-PY"/>
        </w:rPr>
        <w:t xml:space="preserve"> La identificación de alternativas factibles dependerá del objetivo invocado, pero puede observarse qué medidas han sido adoptadas en otros países que han buscado lograr metas regulatorias similares</w:t>
      </w:r>
      <w:r w:rsidRPr="001152C4">
        <w:rPr>
          <w:rStyle w:val="Refdenotaalpie"/>
          <w:sz w:val="22"/>
          <w:lang w:val="es-PY"/>
        </w:rPr>
        <w:footnoteReference w:id="79"/>
      </w:r>
      <w:r w:rsidR="00B17053">
        <w:rPr>
          <w:sz w:val="22"/>
          <w:lang w:val="es-PY"/>
        </w:rPr>
        <w:t xml:space="preserve">. Se recuerda, sin embargo, que no todas las medidas implementadas en otros países pueden ser aplicables al nuestro y se recomienda realizar el mismo análisis bajo los principios aquí estudiados antes de su incorporación al marco normativo paraguayo. </w:t>
      </w:r>
    </w:p>
    <w:p w14:paraId="6B86A59D" w14:textId="651354F1" w:rsidR="001C6630" w:rsidRPr="001152C4" w:rsidRDefault="001C6630" w:rsidP="001C6630">
      <w:pPr>
        <w:rPr>
          <w:sz w:val="22"/>
          <w:lang w:val="es-ES_tradnl"/>
        </w:rPr>
      </w:pPr>
      <w:r w:rsidRPr="001152C4">
        <w:rPr>
          <w:sz w:val="22"/>
          <w:lang w:val="es-ES_tradnl"/>
        </w:rPr>
        <w:t xml:space="preserve">Otro aspecto para considerar en cuanto a la proporcionalidad de la norma es la temporalidad. Algunas normas pueden lograr sus objetivos en cierto plazo, tras el cual el mercado podría funcionar eficientemente por lo que la norma debería quedar sin efecto para evitar una prolongada y mayor distorsión a la competencia. Esto ocurre principalmente cuando la necesidad invocada es una de carácter transitorio. </w:t>
      </w:r>
    </w:p>
    <w:p w14:paraId="35237DFF" w14:textId="7E9B136B" w:rsidR="001C6630" w:rsidRPr="001152C4" w:rsidRDefault="001C6630" w:rsidP="00C32664">
      <w:pPr>
        <w:rPr>
          <w:sz w:val="22"/>
        </w:rPr>
      </w:pPr>
      <w:r w:rsidRPr="001152C4">
        <w:rPr>
          <w:sz w:val="22"/>
          <w:lang w:val="es-ES_tradnl"/>
        </w:rPr>
        <w:t>En ocasiones en que no se pudiese determinar un periodo apropiado para la duración de las medidas, puede adoptarse como buena práctica la inclusión de artículos referentes a la evaluación periódica del impacto de la regulación. De esta manera, se puede facilitar la identificación del momento en que la norma deja de ser necesaria</w:t>
      </w:r>
      <w:bookmarkEnd w:id="50"/>
      <w:r w:rsidRPr="001152C4">
        <w:rPr>
          <w:sz w:val="22"/>
          <w:lang w:val="es-ES_tradnl"/>
        </w:rPr>
        <w:t xml:space="preserve">. </w:t>
      </w:r>
    </w:p>
    <w:p w14:paraId="7938327F" w14:textId="64137237" w:rsidR="006830FD" w:rsidRPr="001152C4" w:rsidRDefault="00EE345B" w:rsidP="00BD08A1">
      <w:pPr>
        <w:pStyle w:val="Ttulo2"/>
      </w:pPr>
      <w:bookmarkStart w:id="51" w:name="_Toc160698865"/>
      <w:r w:rsidRPr="001152C4">
        <w:t>Otros principios</w:t>
      </w:r>
      <w:bookmarkEnd w:id="51"/>
    </w:p>
    <w:p w14:paraId="142ED31B" w14:textId="1A8634FE" w:rsidR="00EE345B" w:rsidRPr="001152C4" w:rsidRDefault="00EE345B" w:rsidP="00BD08A1">
      <w:pPr>
        <w:pStyle w:val="Ttulo3"/>
      </w:pPr>
      <w:bookmarkStart w:id="52" w:name="_Toc160698866"/>
      <w:r w:rsidRPr="001152C4">
        <w:t>Principio de neutralidad</w:t>
      </w:r>
      <w:bookmarkEnd w:id="52"/>
    </w:p>
    <w:p w14:paraId="5BDEADD4" w14:textId="6BD36290" w:rsidR="003D66B4" w:rsidRPr="001152C4" w:rsidRDefault="0041427A" w:rsidP="006830FD">
      <w:pPr>
        <w:rPr>
          <w:sz w:val="22"/>
          <w:lang w:val="es-ES_tradnl"/>
        </w:rPr>
      </w:pPr>
      <w:bookmarkStart w:id="53" w:name="_Hlk138148855"/>
      <w:r w:rsidRPr="001152C4">
        <w:rPr>
          <w:sz w:val="22"/>
          <w:lang w:val="es-ES_tradnl"/>
        </w:rPr>
        <w:t xml:space="preserve">El principio de neutralidad o no discriminación dispone que </w:t>
      </w:r>
      <w:r w:rsidR="00417888">
        <w:rPr>
          <w:sz w:val="22"/>
          <w:lang w:val="es-ES_tradnl"/>
        </w:rPr>
        <w:t xml:space="preserve">la </w:t>
      </w:r>
      <w:proofErr w:type="gramStart"/>
      <w:r w:rsidR="00417888">
        <w:rPr>
          <w:sz w:val="22"/>
          <w:lang w:val="es-ES_tradnl"/>
        </w:rPr>
        <w:t>autoridad pública</w:t>
      </w:r>
      <w:proofErr w:type="gramEnd"/>
      <w:r w:rsidR="00417888">
        <w:rPr>
          <w:sz w:val="22"/>
          <w:lang w:val="es-ES_tradnl"/>
        </w:rPr>
        <w:t xml:space="preserve"> </w:t>
      </w:r>
      <w:r w:rsidRPr="001152C4">
        <w:rPr>
          <w:sz w:val="22"/>
          <w:lang w:val="es-ES_tradnl"/>
        </w:rPr>
        <w:t xml:space="preserve">no debe otorgar ventajas competitivas a ciertas empresas, sean estas de propiedad estatal o no, de cualquier nacionalidad o </w:t>
      </w:r>
      <w:r w:rsidR="00321BB1">
        <w:rPr>
          <w:sz w:val="22"/>
          <w:lang w:val="es-ES_tradnl"/>
        </w:rPr>
        <w:t>con</w:t>
      </w:r>
      <w:r w:rsidRPr="001152C4">
        <w:rPr>
          <w:sz w:val="22"/>
          <w:lang w:val="es-ES_tradnl"/>
        </w:rPr>
        <w:t xml:space="preserve"> base </w:t>
      </w:r>
      <w:r w:rsidR="00321BB1">
        <w:rPr>
          <w:sz w:val="22"/>
          <w:lang w:val="es-ES_tradnl"/>
        </w:rPr>
        <w:t>en</w:t>
      </w:r>
      <w:r w:rsidRPr="001152C4">
        <w:rPr>
          <w:sz w:val="22"/>
          <w:lang w:val="es-ES_tradnl"/>
        </w:rPr>
        <w:t xml:space="preserve"> otro factor discriminatorio</w:t>
      </w:r>
      <w:r w:rsidR="003D66B4" w:rsidRPr="001152C4">
        <w:rPr>
          <w:sz w:val="22"/>
          <w:lang w:val="es-ES_tradnl"/>
        </w:rPr>
        <w:t xml:space="preserve">. </w:t>
      </w:r>
    </w:p>
    <w:p w14:paraId="6B50AD36" w14:textId="11B4914C" w:rsidR="003D66B4" w:rsidRPr="001152C4" w:rsidRDefault="003D66B4" w:rsidP="006830FD">
      <w:pPr>
        <w:rPr>
          <w:sz w:val="22"/>
          <w:lang w:val="es-ES_tradnl"/>
        </w:rPr>
      </w:pPr>
      <w:r w:rsidRPr="001152C4">
        <w:rPr>
          <w:sz w:val="22"/>
          <w:lang w:val="es-ES_tradnl"/>
        </w:rPr>
        <w:t xml:space="preserve">En ocasiones, sin embargo, una medida discriminatoria podría ser imprescindible para el </w:t>
      </w:r>
      <w:r w:rsidRPr="001152C4">
        <w:rPr>
          <w:sz w:val="22"/>
          <w:lang w:val="es-ES_tradnl"/>
        </w:rPr>
        <w:lastRenderedPageBreak/>
        <w:t>objetivo en sí de la medida</w:t>
      </w:r>
      <w:r w:rsidRPr="001152C4">
        <w:rPr>
          <w:rStyle w:val="Refdenotaalpie"/>
          <w:sz w:val="22"/>
          <w:lang w:val="es-ES_tradnl"/>
        </w:rPr>
        <w:footnoteReference w:id="80"/>
      </w:r>
      <w:r w:rsidR="0041427A" w:rsidRPr="001152C4">
        <w:rPr>
          <w:sz w:val="22"/>
          <w:lang w:val="es-ES_tradnl"/>
        </w:rPr>
        <w:t xml:space="preserve">, </w:t>
      </w:r>
      <w:r w:rsidRPr="001152C4">
        <w:rPr>
          <w:sz w:val="22"/>
          <w:lang w:val="es-ES_tradnl"/>
        </w:rPr>
        <w:t>por motivos que logran demostrarse mediante el análisis de la necesidad y la proporcionalidad (como, por ejemplo, un trato preferencial a las mipymes en los trámites de registro de nuevas empresas, para motivar su formalización, en virtud de su significancia en la economía nacional y porque los beneficios de esta medida superan los costos)</w:t>
      </w:r>
      <w:bookmarkEnd w:id="53"/>
      <w:r w:rsidRPr="001152C4">
        <w:rPr>
          <w:sz w:val="22"/>
          <w:lang w:val="es-ES_tradnl"/>
        </w:rPr>
        <w:t xml:space="preserve">. </w:t>
      </w:r>
    </w:p>
    <w:p w14:paraId="3D8531ED" w14:textId="70464E2E" w:rsidR="00EE345B" w:rsidRPr="001152C4" w:rsidRDefault="00EE345B" w:rsidP="00BD08A1">
      <w:pPr>
        <w:pStyle w:val="Ttulo3"/>
      </w:pPr>
      <w:bookmarkStart w:id="54" w:name="_Toc160698867"/>
      <w:r w:rsidRPr="001152C4">
        <w:t>Principio</w:t>
      </w:r>
      <w:r w:rsidR="00225117">
        <w:t>s formales</w:t>
      </w:r>
      <w:bookmarkEnd w:id="54"/>
    </w:p>
    <w:p w14:paraId="53078A4E" w14:textId="1E6B0721" w:rsidR="00225117" w:rsidRDefault="00225117" w:rsidP="00497D0C">
      <w:pPr>
        <w:pStyle w:val="Ttulo4"/>
        <w:rPr>
          <w:lang w:val="es-ES_tradnl"/>
        </w:rPr>
      </w:pPr>
      <w:r>
        <w:rPr>
          <w:lang w:val="es-ES_tradnl"/>
        </w:rPr>
        <w:t>Principio de transparencia</w:t>
      </w:r>
    </w:p>
    <w:p w14:paraId="4DC82945" w14:textId="62FB054F" w:rsidR="00670209" w:rsidRPr="001152C4" w:rsidRDefault="0041427A" w:rsidP="00EE345B">
      <w:pPr>
        <w:rPr>
          <w:sz w:val="22"/>
          <w:lang w:val="es-ES_tradnl"/>
        </w:rPr>
      </w:pPr>
      <w:bookmarkStart w:id="55" w:name="_Hlk138148888"/>
      <w:r w:rsidRPr="001152C4">
        <w:rPr>
          <w:sz w:val="22"/>
          <w:lang w:val="es-ES_tradnl"/>
        </w:rPr>
        <w:t>Según este principio, la regulación y sus objetivos deben justificarse de manera pública</w:t>
      </w:r>
      <w:r w:rsidR="0097061F" w:rsidRPr="001152C4">
        <w:rPr>
          <w:rStyle w:val="Refdenotaalpie"/>
          <w:sz w:val="22"/>
          <w:lang w:val="es-ES_tradnl"/>
        </w:rPr>
        <w:footnoteReference w:id="81"/>
      </w:r>
      <w:r w:rsidR="00670209" w:rsidRPr="001152C4">
        <w:rPr>
          <w:sz w:val="22"/>
          <w:lang w:val="es-ES_tradnl"/>
        </w:rPr>
        <w:t xml:space="preserve">. </w:t>
      </w:r>
      <w:r w:rsidR="0097061F" w:rsidRPr="001152C4">
        <w:rPr>
          <w:sz w:val="22"/>
          <w:lang w:val="es-ES_tradnl"/>
        </w:rPr>
        <w:t xml:space="preserve">La no aplicación del principio de transparencia puede dificultar la identificación y el análisis de los elementos en juego que fueron considerados al proponer o promulgar la regulación. Por ello, es </w:t>
      </w:r>
      <w:r w:rsidR="00670209" w:rsidRPr="001152C4">
        <w:rPr>
          <w:sz w:val="22"/>
          <w:lang w:val="es-ES_tradnl"/>
        </w:rPr>
        <w:t xml:space="preserve">importante que </w:t>
      </w:r>
      <w:r w:rsidR="0097061F" w:rsidRPr="001152C4">
        <w:rPr>
          <w:sz w:val="22"/>
          <w:lang w:val="es-ES_tradnl"/>
        </w:rPr>
        <w:t xml:space="preserve">se expliquen </w:t>
      </w:r>
      <w:r w:rsidR="00670209" w:rsidRPr="001152C4">
        <w:rPr>
          <w:sz w:val="22"/>
          <w:lang w:val="es-ES_tradnl"/>
        </w:rPr>
        <w:t xml:space="preserve">los motivos de su implementación. </w:t>
      </w:r>
    </w:p>
    <w:p w14:paraId="5E1DA060" w14:textId="20C00B4C" w:rsidR="00EE345B" w:rsidRPr="001152C4" w:rsidRDefault="00670209" w:rsidP="00EE345B">
      <w:pPr>
        <w:rPr>
          <w:sz w:val="22"/>
          <w:lang w:val="es-ES_tradnl"/>
        </w:rPr>
      </w:pPr>
      <w:r w:rsidRPr="001152C4">
        <w:rPr>
          <w:sz w:val="22"/>
          <w:lang w:val="es-ES_tradnl"/>
        </w:rPr>
        <w:t>Con los proyectos de ley, esto puede comprobarse en las exposiciones de motivos, requisito establecido en</w:t>
      </w:r>
      <w:r w:rsidR="0097061F" w:rsidRPr="001152C4">
        <w:rPr>
          <w:sz w:val="22"/>
          <w:lang w:val="es-ES_tradnl"/>
        </w:rPr>
        <w:t xml:space="preserve"> el artículo 203 de </w:t>
      </w:r>
      <w:r w:rsidRPr="001152C4">
        <w:rPr>
          <w:sz w:val="22"/>
          <w:lang w:val="es-ES_tradnl"/>
        </w:rPr>
        <w:t xml:space="preserve">la Constitución Nacional. Para que una exposición de motivos sea útil para el debate </w:t>
      </w:r>
      <w:r w:rsidR="0097061F" w:rsidRPr="001152C4">
        <w:rPr>
          <w:sz w:val="22"/>
          <w:lang w:val="es-ES_tradnl"/>
        </w:rPr>
        <w:t>público</w:t>
      </w:r>
      <w:r w:rsidRPr="001152C4">
        <w:rPr>
          <w:sz w:val="22"/>
          <w:lang w:val="es-ES_tradnl"/>
        </w:rPr>
        <w:t xml:space="preserve">, es importante que incluya una buena fundamentación de la necesidad y proporcionalidad de la medida y que no sea una simple descripción del proyecto de ley o una mera declaración formal de principios. </w:t>
      </w:r>
    </w:p>
    <w:p w14:paraId="2EDD1C20" w14:textId="7A2391A6" w:rsidR="00670209" w:rsidRPr="001152C4" w:rsidRDefault="00670209" w:rsidP="00EE345B">
      <w:pPr>
        <w:rPr>
          <w:sz w:val="22"/>
          <w:lang w:val="es-ES_tradnl"/>
        </w:rPr>
      </w:pPr>
      <w:r w:rsidRPr="001152C4">
        <w:rPr>
          <w:sz w:val="22"/>
          <w:lang w:val="es-ES_tradnl"/>
        </w:rPr>
        <w:t>En el caso de los actos regulatorios de menor jerarquía, corresponde exponer las justificaciones de la norma en el Considerando</w:t>
      </w:r>
      <w:r w:rsidRPr="001152C4">
        <w:rPr>
          <w:rStyle w:val="Refdenotaalpie"/>
          <w:sz w:val="22"/>
          <w:lang w:val="es-ES_tradnl"/>
        </w:rPr>
        <w:footnoteReference w:id="82"/>
      </w:r>
      <w:r w:rsidRPr="001152C4">
        <w:rPr>
          <w:sz w:val="22"/>
          <w:lang w:val="es-ES_tradnl"/>
        </w:rPr>
        <w:t xml:space="preserve">. De igual manera, contribuye a la transparencia que los fundamentos no se limiten a mencionar las bases normativas que habilitan </w:t>
      </w:r>
      <w:r w:rsidR="003D66B4" w:rsidRPr="001152C4">
        <w:rPr>
          <w:sz w:val="22"/>
          <w:lang w:val="es-ES_tradnl"/>
        </w:rPr>
        <w:t xml:space="preserve">formalmente </w:t>
      </w:r>
      <w:r w:rsidRPr="001152C4">
        <w:rPr>
          <w:sz w:val="22"/>
          <w:lang w:val="es-ES_tradnl"/>
        </w:rPr>
        <w:t xml:space="preserve">la emisión de la regulación, sino también los aspectos fácticos que llevaron a </w:t>
      </w:r>
      <w:r w:rsidR="003D66B4" w:rsidRPr="001152C4">
        <w:rPr>
          <w:sz w:val="22"/>
          <w:lang w:val="es-ES_tradnl"/>
        </w:rPr>
        <w:t xml:space="preserve">tomar la decisión de promulgarla. </w:t>
      </w:r>
    </w:p>
    <w:p w14:paraId="419786C4" w14:textId="2ED0476C" w:rsidR="0097061F" w:rsidRPr="001152C4" w:rsidRDefault="0097061F" w:rsidP="00EE345B">
      <w:pPr>
        <w:rPr>
          <w:sz w:val="22"/>
          <w:lang w:val="es-ES_tradnl"/>
        </w:rPr>
      </w:pPr>
      <w:r w:rsidRPr="001152C4">
        <w:rPr>
          <w:sz w:val="22"/>
          <w:lang w:val="es-ES_tradnl"/>
        </w:rPr>
        <w:t>En ocasiones, los reguladores pueden considerar apropiado realizar consultas públicas o audiencias previas, permitiendo así que tanto la ciudadanía como los sectores afectados tengan otro medio para conocer los motivos de la regulación y favorecer del debate</w:t>
      </w:r>
      <w:bookmarkEnd w:id="55"/>
      <w:r w:rsidRPr="001152C4">
        <w:rPr>
          <w:sz w:val="22"/>
          <w:lang w:val="es-ES_tradnl"/>
        </w:rPr>
        <w:t xml:space="preserve">. </w:t>
      </w:r>
    </w:p>
    <w:p w14:paraId="1AFC22FA" w14:textId="778C0FCD" w:rsidR="00EE345B" w:rsidRPr="001152C4" w:rsidRDefault="00EE345B" w:rsidP="00497D0C">
      <w:pPr>
        <w:pStyle w:val="Ttulo4"/>
        <w:rPr>
          <w:lang w:val="es-PY"/>
        </w:rPr>
      </w:pPr>
      <w:r w:rsidRPr="001152C4">
        <w:rPr>
          <w:lang w:val="es-PY"/>
        </w:rPr>
        <w:t xml:space="preserve">Principio de </w:t>
      </w:r>
      <w:r w:rsidR="003D66B4" w:rsidRPr="001152C4">
        <w:rPr>
          <w:lang w:val="es-PY"/>
        </w:rPr>
        <w:t>claridad</w:t>
      </w:r>
      <w:r w:rsidR="0097061F" w:rsidRPr="001152C4">
        <w:rPr>
          <w:lang w:val="es-PY"/>
        </w:rPr>
        <w:t xml:space="preserve"> y consistencia</w:t>
      </w:r>
    </w:p>
    <w:p w14:paraId="4954D451" w14:textId="62939C4B" w:rsidR="003D66B4" w:rsidRPr="001152C4" w:rsidRDefault="003D66B4" w:rsidP="00EE345B">
      <w:pPr>
        <w:rPr>
          <w:sz w:val="22"/>
          <w:lang w:val="es-ES_tradnl"/>
        </w:rPr>
      </w:pPr>
      <w:bookmarkStart w:id="56" w:name="_Hlk138148923"/>
      <w:r w:rsidRPr="001152C4">
        <w:rPr>
          <w:sz w:val="22"/>
          <w:lang w:val="es-ES_tradnl"/>
        </w:rPr>
        <w:t>Las regulaciones deben ser claras</w:t>
      </w:r>
      <w:r w:rsidR="0097061F" w:rsidRPr="001152C4">
        <w:rPr>
          <w:sz w:val="22"/>
          <w:lang w:val="es-ES_tradnl"/>
        </w:rPr>
        <w:t xml:space="preserve"> y consistentes</w:t>
      </w:r>
      <w:r w:rsidRPr="001152C4">
        <w:rPr>
          <w:sz w:val="22"/>
          <w:lang w:val="es-ES_tradnl"/>
        </w:rPr>
        <w:t xml:space="preserve">, de manera a evitar interpretaciones ambiguas o generar vacíos legales en su implementación. </w:t>
      </w:r>
    </w:p>
    <w:p w14:paraId="7C8C894C" w14:textId="44AB260C" w:rsidR="00EE345B" w:rsidRPr="001152C4" w:rsidRDefault="00F363AC" w:rsidP="00EE345B">
      <w:pPr>
        <w:rPr>
          <w:sz w:val="22"/>
          <w:lang w:val="es-ES_tradnl"/>
        </w:rPr>
      </w:pPr>
      <w:r w:rsidRPr="001152C4">
        <w:rPr>
          <w:sz w:val="22"/>
          <w:lang w:val="es-ES_tradnl"/>
        </w:rPr>
        <w:t xml:space="preserve">Este principio implica dos </w:t>
      </w:r>
      <w:r w:rsidR="003D66B4" w:rsidRPr="001152C4">
        <w:rPr>
          <w:sz w:val="22"/>
          <w:lang w:val="es-ES_tradnl"/>
        </w:rPr>
        <w:t>cuestiones</w:t>
      </w:r>
      <w:r w:rsidRPr="001152C4">
        <w:rPr>
          <w:sz w:val="22"/>
          <w:lang w:val="es-ES_tradnl"/>
        </w:rPr>
        <w:t xml:space="preserve">. La claridad exige que se </w:t>
      </w:r>
      <w:r w:rsidR="003D66B4" w:rsidRPr="001152C4">
        <w:rPr>
          <w:sz w:val="22"/>
          <w:lang w:val="es-ES_tradnl"/>
        </w:rPr>
        <w:t>apli</w:t>
      </w:r>
      <w:r w:rsidRPr="001152C4">
        <w:rPr>
          <w:sz w:val="22"/>
          <w:lang w:val="es-ES_tradnl"/>
        </w:rPr>
        <w:t>quen</w:t>
      </w:r>
      <w:r w:rsidR="003D66B4" w:rsidRPr="001152C4">
        <w:rPr>
          <w:sz w:val="22"/>
          <w:lang w:val="es-ES_tradnl"/>
        </w:rPr>
        <w:t xml:space="preserve"> técnicas de redacción normativa apropiadas</w:t>
      </w:r>
      <w:r w:rsidR="0097061F" w:rsidRPr="001152C4">
        <w:rPr>
          <w:sz w:val="22"/>
          <w:lang w:val="es-ES_tradnl"/>
        </w:rPr>
        <w:t xml:space="preserve"> y ajustadas a la necesidad y proporcionalidad de la norma. </w:t>
      </w:r>
      <w:r w:rsidRPr="001152C4">
        <w:rPr>
          <w:sz w:val="22"/>
          <w:lang w:val="es-ES_tradnl"/>
        </w:rPr>
        <w:t xml:space="preserve">La consistencia, por su parte, </w:t>
      </w:r>
      <w:r w:rsidR="0097061F" w:rsidRPr="001152C4">
        <w:rPr>
          <w:sz w:val="22"/>
          <w:lang w:val="es-ES_tradnl"/>
        </w:rPr>
        <w:t xml:space="preserve">amerita que las regulaciones sean estudiadas en su conjunto con otras disposiciones que rigen en el sector, de manera a evitar inconsistencias, buscando en su </w:t>
      </w:r>
      <w:r w:rsidR="0097061F" w:rsidRPr="001152C4">
        <w:rPr>
          <w:sz w:val="22"/>
          <w:lang w:val="es-ES_tradnl"/>
        </w:rPr>
        <w:lastRenderedPageBreak/>
        <w:t>lugar la coherencia, predictibilidad y certidumbre</w:t>
      </w:r>
      <w:r w:rsidR="0097061F" w:rsidRPr="001152C4">
        <w:rPr>
          <w:rStyle w:val="Refdenotaalpie"/>
          <w:sz w:val="22"/>
          <w:lang w:val="es-ES_tradnl"/>
        </w:rPr>
        <w:footnoteReference w:id="83"/>
      </w:r>
      <w:r w:rsidR="0097061F" w:rsidRPr="001152C4">
        <w:rPr>
          <w:sz w:val="22"/>
          <w:lang w:val="es-ES_tradnl"/>
        </w:rPr>
        <w:t>.</w:t>
      </w:r>
      <w:bookmarkEnd w:id="56"/>
      <w:r w:rsidR="0097061F" w:rsidRPr="001152C4">
        <w:rPr>
          <w:sz w:val="22"/>
          <w:lang w:val="es-ES_tradnl"/>
        </w:rPr>
        <w:t xml:space="preserve"> </w:t>
      </w:r>
    </w:p>
    <w:p w14:paraId="74DF6476" w14:textId="391DF55C" w:rsidR="00EC239E" w:rsidRPr="001152C4" w:rsidRDefault="00EC239E">
      <w:pPr>
        <w:widowControl/>
        <w:spacing w:before="0" w:line="259" w:lineRule="auto"/>
        <w:jc w:val="left"/>
        <w:rPr>
          <w:sz w:val="22"/>
          <w:lang w:val="es-ES_tradnl"/>
        </w:rPr>
      </w:pPr>
      <w:r w:rsidRPr="001152C4">
        <w:rPr>
          <w:sz w:val="22"/>
          <w:lang w:val="es-ES_tradnl"/>
        </w:rPr>
        <w:br w:type="page"/>
      </w:r>
    </w:p>
    <w:p w14:paraId="4D5A92E1" w14:textId="77777777" w:rsidR="00EC239E" w:rsidRPr="001152C4" w:rsidRDefault="00EC239E" w:rsidP="00EE345B">
      <w:pPr>
        <w:rPr>
          <w:sz w:val="22"/>
          <w:lang w:val="es-ES_tradnl"/>
        </w:rPr>
      </w:pPr>
    </w:p>
    <w:p w14:paraId="7DE65AB1" w14:textId="6B3719E7" w:rsidR="006830FD" w:rsidRPr="001152C4" w:rsidRDefault="006830FD" w:rsidP="006830FD">
      <w:pPr>
        <w:pStyle w:val="Ttulo1"/>
        <w:rPr>
          <w:sz w:val="22"/>
          <w:lang w:val="es-ES_tradnl"/>
        </w:rPr>
      </w:pPr>
      <w:bookmarkStart w:id="57" w:name="_Toc160698868"/>
      <w:r w:rsidRPr="001152C4">
        <w:rPr>
          <w:sz w:val="22"/>
          <w:lang w:val="es-ES_tradnl"/>
        </w:rPr>
        <w:t xml:space="preserve">Buenas prácticas para la </w:t>
      </w:r>
      <w:r w:rsidRPr="00300F06">
        <w:rPr>
          <w:sz w:val="22"/>
          <w:lang w:val="es-ES_tradnl"/>
        </w:rPr>
        <w:t>regulación</w:t>
      </w:r>
      <w:r w:rsidR="00D03847" w:rsidRPr="00300F06">
        <w:rPr>
          <w:sz w:val="22"/>
          <w:lang w:val="es-ES_tradnl"/>
        </w:rPr>
        <w:t xml:space="preserve"> con criterios de</w:t>
      </w:r>
      <w:r w:rsidR="00D03847" w:rsidRPr="001152C4">
        <w:rPr>
          <w:sz w:val="22"/>
          <w:lang w:val="es-ES_tradnl"/>
        </w:rPr>
        <w:t xml:space="preserve"> competencia</w:t>
      </w:r>
      <w:bookmarkEnd w:id="57"/>
    </w:p>
    <w:p w14:paraId="45DAC68F" w14:textId="27019762" w:rsidR="00EC239E" w:rsidRPr="001152C4" w:rsidRDefault="00EC239E" w:rsidP="00EC239E">
      <w:pPr>
        <w:rPr>
          <w:sz w:val="22"/>
          <w:lang w:val="es-ES_tradnl"/>
        </w:rPr>
      </w:pPr>
      <w:bookmarkStart w:id="58" w:name="_Hlk138148972"/>
      <w:r w:rsidRPr="001152C4">
        <w:rPr>
          <w:sz w:val="22"/>
          <w:lang w:val="es-ES_tradnl"/>
        </w:rPr>
        <w:t xml:space="preserve">En base de las experiencias de análisis regulatorio de la CONACOM, la institución puede formular algunas recomendaciones sobre buenas prácticas para la regulación que pueden ser adoptadas por las instituciones públicas para evitar la implementación de barreras regulatorias injustificadas a la competencia. </w:t>
      </w:r>
    </w:p>
    <w:p w14:paraId="36A5CB1D" w14:textId="189D66E6" w:rsidR="006830FD" w:rsidRPr="001152C4" w:rsidRDefault="006830FD" w:rsidP="00BD08A1">
      <w:pPr>
        <w:pStyle w:val="Ttulo2"/>
      </w:pPr>
      <w:bookmarkStart w:id="59" w:name="_Toc160698869"/>
      <w:bookmarkEnd w:id="58"/>
      <w:r w:rsidRPr="001152C4">
        <w:t>Obtención de datos precisos</w:t>
      </w:r>
      <w:bookmarkEnd w:id="59"/>
    </w:p>
    <w:p w14:paraId="3D29847C" w14:textId="77777777" w:rsidR="00E558AC" w:rsidRPr="001152C4" w:rsidRDefault="00E558AC" w:rsidP="006830FD">
      <w:pPr>
        <w:rPr>
          <w:sz w:val="22"/>
          <w:lang w:val="es-ES_tradnl"/>
        </w:rPr>
      </w:pPr>
      <w:bookmarkStart w:id="60" w:name="_Hlk138148996"/>
      <w:r w:rsidRPr="001152C4">
        <w:rPr>
          <w:sz w:val="22"/>
          <w:lang w:val="es-ES_tradnl"/>
        </w:rPr>
        <w:t xml:space="preserve">La CONACOM ha observado en numerosas ocasiones la dificultad de analizar el impacto de regulaciones y la formulación de políticas públicas cuando la evidencia y los datos son prácticamente inexistentes. </w:t>
      </w:r>
    </w:p>
    <w:p w14:paraId="271DBF1B" w14:textId="5BC313BD" w:rsidR="00E558AC" w:rsidRPr="001152C4" w:rsidRDefault="00E558AC" w:rsidP="00E558AC">
      <w:pPr>
        <w:rPr>
          <w:sz w:val="22"/>
          <w:lang w:val="es-ES_tradnl"/>
        </w:rPr>
      </w:pPr>
      <w:r w:rsidRPr="001152C4">
        <w:rPr>
          <w:sz w:val="22"/>
          <w:lang w:val="es-ES_tradnl"/>
        </w:rPr>
        <w:t>Cabe destacar que, al momento de considerar proyectos de normativas, compete a los reguladores relevar los datos y generar la información necesaria que les permita contar con elementos para la toma de decisiones con una visión más acertada de la realidad</w:t>
      </w:r>
      <w:r w:rsidR="00D03847" w:rsidRPr="001152C4">
        <w:rPr>
          <w:rStyle w:val="Refdenotaalpie"/>
          <w:sz w:val="22"/>
          <w:lang w:val="es-ES_tradnl"/>
        </w:rPr>
        <w:footnoteReference w:id="84"/>
      </w:r>
      <w:r w:rsidRPr="001152C4">
        <w:rPr>
          <w:sz w:val="22"/>
          <w:lang w:val="es-ES_tradnl"/>
        </w:rPr>
        <w:t xml:space="preserve">. </w:t>
      </w:r>
    </w:p>
    <w:p w14:paraId="62B98784" w14:textId="379A546E" w:rsidR="006830FD" w:rsidRPr="001152C4" w:rsidRDefault="006830FD" w:rsidP="00BD08A1">
      <w:pPr>
        <w:pStyle w:val="Ttulo2"/>
      </w:pPr>
      <w:bookmarkStart w:id="61" w:name="_Toc160698870"/>
      <w:bookmarkEnd w:id="60"/>
      <w:r w:rsidRPr="001152C4">
        <w:t>Análisis previo</w:t>
      </w:r>
      <w:bookmarkEnd w:id="61"/>
    </w:p>
    <w:p w14:paraId="12F4934A" w14:textId="70075A1A" w:rsidR="00D03847" w:rsidRDefault="00D03847" w:rsidP="006830FD">
      <w:pPr>
        <w:rPr>
          <w:sz w:val="22"/>
          <w:lang w:val="es-ES_tradnl"/>
        </w:rPr>
      </w:pPr>
      <w:bookmarkStart w:id="62" w:name="_Hlk138149031"/>
      <w:r w:rsidRPr="001152C4">
        <w:rPr>
          <w:sz w:val="22"/>
          <w:lang w:val="es-ES_tradnl"/>
        </w:rPr>
        <w:t xml:space="preserve">Se recomienda que las medidas sean evaluadas antes de su adopción. El análisis de la justificación de las barreras bajo los principios de necesidad y proporcionalidad explicados en esta </w:t>
      </w:r>
      <w:proofErr w:type="gramStart"/>
      <w:r w:rsidRPr="001152C4">
        <w:rPr>
          <w:sz w:val="22"/>
          <w:lang w:val="es-ES_tradnl"/>
        </w:rPr>
        <w:t>Guía,</w:t>
      </w:r>
      <w:proofErr w:type="gramEnd"/>
      <w:r w:rsidRPr="001152C4">
        <w:rPr>
          <w:sz w:val="22"/>
          <w:lang w:val="es-ES_tradnl"/>
        </w:rPr>
        <w:t xml:space="preserve"> se cuente o no con datos y modelos económicos, puede ser una herramienta útil para tomar decisiones sobre las medidas a ser implementadas</w:t>
      </w:r>
      <w:r w:rsidRPr="001152C4">
        <w:rPr>
          <w:rStyle w:val="Refdenotaalpie"/>
          <w:sz w:val="22"/>
          <w:lang w:val="es-ES_tradnl"/>
        </w:rPr>
        <w:footnoteReference w:id="85"/>
      </w:r>
      <w:r w:rsidRPr="001152C4">
        <w:rPr>
          <w:sz w:val="22"/>
          <w:lang w:val="es-ES_tradnl"/>
        </w:rPr>
        <w:t xml:space="preserve">. </w:t>
      </w:r>
    </w:p>
    <w:p w14:paraId="2435036D" w14:textId="63EAAA2C" w:rsidR="0018457D" w:rsidRPr="001152C4" w:rsidRDefault="0018457D" w:rsidP="00BD08A1">
      <w:pPr>
        <w:pStyle w:val="Ttulo2"/>
      </w:pPr>
      <w:bookmarkStart w:id="63" w:name="_Toc160698871"/>
      <w:r>
        <w:t>Coordinación intermunicipal</w:t>
      </w:r>
      <w:r w:rsidR="00F5107B">
        <w:t>, departamental</w:t>
      </w:r>
      <w:r>
        <w:t xml:space="preserve"> y nacional</w:t>
      </w:r>
      <w:bookmarkEnd w:id="63"/>
    </w:p>
    <w:p w14:paraId="03AC0499" w14:textId="24BCCE62" w:rsidR="0018457D" w:rsidRDefault="0018457D" w:rsidP="006830FD">
      <w:pPr>
        <w:rPr>
          <w:sz w:val="22"/>
          <w:lang w:val="es-ES_tradnl"/>
        </w:rPr>
      </w:pPr>
      <w:r>
        <w:rPr>
          <w:sz w:val="22"/>
          <w:lang w:val="es-ES_tradnl"/>
        </w:rPr>
        <w:t xml:space="preserve">En ocasiones, cuando una normativa propuesta o impuesta pueda afectar un sector más allá de las fronteras del municipio, una buena práctica puede ser la coordinación intermunicipal para la armonía de las regulaciones. </w:t>
      </w:r>
    </w:p>
    <w:p w14:paraId="73C07DA8" w14:textId="6DCAA9B3" w:rsidR="0018457D" w:rsidRDefault="0018457D" w:rsidP="006830FD">
      <w:pPr>
        <w:rPr>
          <w:sz w:val="22"/>
          <w:lang w:val="es-ES_tradnl"/>
        </w:rPr>
      </w:pPr>
      <w:r>
        <w:rPr>
          <w:sz w:val="22"/>
          <w:lang w:val="es-ES_tradnl"/>
        </w:rPr>
        <w:t>Las municipalidades pueden trabajar en conjunto en las normativas para proveer a los ciudadanos y participantes en el mercado respuesta</w:t>
      </w:r>
      <w:r w:rsidR="000E704A">
        <w:rPr>
          <w:sz w:val="22"/>
          <w:lang w:val="es-ES_tradnl"/>
        </w:rPr>
        <w:t>s</w:t>
      </w:r>
      <w:r>
        <w:rPr>
          <w:sz w:val="22"/>
          <w:lang w:val="es-ES_tradnl"/>
        </w:rPr>
        <w:t xml:space="preserve"> consistente</w:t>
      </w:r>
      <w:r w:rsidR="000E704A">
        <w:rPr>
          <w:sz w:val="22"/>
          <w:lang w:val="es-ES_tradnl"/>
        </w:rPr>
        <w:t>s</w:t>
      </w:r>
      <w:r>
        <w:rPr>
          <w:sz w:val="22"/>
          <w:lang w:val="es-ES_tradnl"/>
        </w:rPr>
        <w:t xml:space="preserve"> en las jurisdicciones afectadas, que permita</w:t>
      </w:r>
      <w:r w:rsidR="000E704A">
        <w:rPr>
          <w:sz w:val="22"/>
          <w:lang w:val="es-ES_tradnl"/>
        </w:rPr>
        <w:t>n</w:t>
      </w:r>
      <w:r>
        <w:rPr>
          <w:sz w:val="22"/>
          <w:lang w:val="es-ES_tradnl"/>
        </w:rPr>
        <w:t xml:space="preserve"> el libre flujo de bienes y servicios</w:t>
      </w:r>
      <w:r w:rsidR="000E704A">
        <w:rPr>
          <w:sz w:val="22"/>
          <w:lang w:val="es-ES_tradnl"/>
        </w:rPr>
        <w:t>, sin más limitaciones que aquellas que puedan estar debidamente justificadas por los principios de regulación eficiente</w:t>
      </w:r>
      <w:r>
        <w:rPr>
          <w:sz w:val="22"/>
          <w:lang w:val="es-ES_tradnl"/>
        </w:rPr>
        <w:t xml:space="preserve">. </w:t>
      </w:r>
    </w:p>
    <w:p w14:paraId="0D732AD9" w14:textId="226E00F6" w:rsidR="0018457D" w:rsidRDefault="0018457D" w:rsidP="006830FD">
      <w:pPr>
        <w:rPr>
          <w:sz w:val="22"/>
          <w:lang w:val="es-ES_tradnl"/>
        </w:rPr>
      </w:pPr>
      <w:r>
        <w:rPr>
          <w:sz w:val="22"/>
          <w:lang w:val="es-ES_tradnl"/>
        </w:rPr>
        <w:t xml:space="preserve">Asimismo, puede trabajarse con </w:t>
      </w:r>
      <w:r w:rsidR="00F5107B">
        <w:rPr>
          <w:sz w:val="22"/>
          <w:lang w:val="es-ES_tradnl"/>
        </w:rPr>
        <w:t xml:space="preserve">los </w:t>
      </w:r>
      <w:r>
        <w:rPr>
          <w:sz w:val="22"/>
          <w:lang w:val="es-ES_tradnl"/>
        </w:rPr>
        <w:t>gobierno</w:t>
      </w:r>
      <w:r w:rsidR="00F5107B">
        <w:rPr>
          <w:sz w:val="22"/>
          <w:lang w:val="es-ES_tradnl"/>
        </w:rPr>
        <w:t>s departamental y</w:t>
      </w:r>
      <w:r>
        <w:rPr>
          <w:sz w:val="22"/>
          <w:lang w:val="es-ES_tradnl"/>
        </w:rPr>
        <w:t xml:space="preserve"> nacional</w:t>
      </w:r>
      <w:r w:rsidR="00F5107B">
        <w:rPr>
          <w:sz w:val="22"/>
          <w:lang w:val="es-ES_tradnl"/>
        </w:rPr>
        <w:t>, según el alcance de sus funciones respectivas,</w:t>
      </w:r>
      <w:r>
        <w:rPr>
          <w:sz w:val="22"/>
          <w:lang w:val="es-ES_tradnl"/>
        </w:rPr>
        <w:t xml:space="preserve"> en la definición de estándares comunes que sirvan de base para la </w:t>
      </w:r>
      <w:r>
        <w:rPr>
          <w:sz w:val="22"/>
          <w:lang w:val="es-ES_tradnl"/>
        </w:rPr>
        <w:lastRenderedPageBreak/>
        <w:t xml:space="preserve">emisión de las normativas municipales y que permitan una disrupción mínima a las condiciones de competencia entre un distrito y otro. </w:t>
      </w:r>
    </w:p>
    <w:p w14:paraId="24568F48" w14:textId="2870293D" w:rsidR="005A15DD" w:rsidRPr="001152C4" w:rsidRDefault="005A15DD" w:rsidP="006830FD">
      <w:pPr>
        <w:rPr>
          <w:sz w:val="22"/>
          <w:lang w:val="es-ES_tradnl"/>
        </w:rPr>
      </w:pPr>
      <w:r>
        <w:rPr>
          <w:sz w:val="22"/>
          <w:lang w:val="es-ES_tradnl"/>
        </w:rPr>
        <w:t xml:space="preserve">La coordinación </w:t>
      </w:r>
      <w:r w:rsidR="000E704A">
        <w:rPr>
          <w:sz w:val="22"/>
          <w:lang w:val="es-ES_tradnl"/>
        </w:rPr>
        <w:t>tiene bases legales en el artículo 13 de la Ley N° 3966/2010, que dispone que [</w:t>
      </w:r>
      <w:r w:rsidR="000E704A" w:rsidRPr="000E704A">
        <w:rPr>
          <w:i/>
          <w:iCs/>
          <w:sz w:val="22"/>
          <w:lang w:val="es-ES_tradnl"/>
        </w:rPr>
        <w:t>l</w:t>
      </w:r>
      <w:r w:rsidR="000E704A">
        <w:rPr>
          <w:sz w:val="22"/>
          <w:lang w:val="es-ES_tradnl"/>
        </w:rPr>
        <w:t>]</w:t>
      </w:r>
      <w:r w:rsidR="000E704A" w:rsidRPr="000E704A">
        <w:rPr>
          <w:i/>
          <w:iCs/>
          <w:sz w:val="22"/>
          <w:lang w:val="es-ES_tradnl"/>
        </w:rPr>
        <w:t>as funciones municipales se ejercerán de conformidad a la legislación aplicable y en coordinación con las autoridades nacionales y departamentales competentes</w:t>
      </w:r>
      <w:r w:rsidR="000E704A">
        <w:rPr>
          <w:sz w:val="22"/>
          <w:lang w:val="es-ES_tradnl"/>
        </w:rPr>
        <w:t xml:space="preserve">. </w:t>
      </w:r>
    </w:p>
    <w:p w14:paraId="3842A990" w14:textId="2EF17A29" w:rsidR="006830FD" w:rsidRPr="001152C4" w:rsidRDefault="006830FD" w:rsidP="00BD08A1">
      <w:pPr>
        <w:pStyle w:val="Ttulo2"/>
      </w:pPr>
      <w:bookmarkStart w:id="64" w:name="_Toc160698872"/>
      <w:bookmarkEnd w:id="62"/>
      <w:r w:rsidRPr="001152C4">
        <w:t>Monitoreo y evaluación</w:t>
      </w:r>
      <w:bookmarkEnd w:id="64"/>
    </w:p>
    <w:p w14:paraId="00DD2603" w14:textId="77777777" w:rsidR="00D03847" w:rsidRPr="001152C4" w:rsidRDefault="00D03847" w:rsidP="006830FD">
      <w:pPr>
        <w:rPr>
          <w:sz w:val="22"/>
          <w:lang w:val="es-ES_tradnl"/>
        </w:rPr>
      </w:pPr>
      <w:bookmarkStart w:id="65" w:name="_Hlk138149052"/>
      <w:r w:rsidRPr="001152C4">
        <w:rPr>
          <w:sz w:val="22"/>
          <w:lang w:val="es-ES_tradnl"/>
        </w:rPr>
        <w:t>En ocasiones, las normativas pueden no cumplir efectivamente los objetivos pretendidos y/o generar consecuencias inesperadas al implementarse en el mercado</w:t>
      </w:r>
      <w:r w:rsidRPr="001152C4">
        <w:rPr>
          <w:rStyle w:val="Refdenotaalpie"/>
          <w:sz w:val="22"/>
          <w:lang w:val="es-ES_tradnl"/>
        </w:rPr>
        <w:footnoteReference w:id="86"/>
      </w:r>
      <w:r w:rsidRPr="001152C4">
        <w:rPr>
          <w:sz w:val="22"/>
          <w:lang w:val="es-ES_tradnl"/>
        </w:rPr>
        <w:t xml:space="preserve">. </w:t>
      </w:r>
    </w:p>
    <w:p w14:paraId="737D0C4D" w14:textId="7CBA3599" w:rsidR="00D03847" w:rsidRPr="001152C4" w:rsidRDefault="00D03847" w:rsidP="006830FD">
      <w:pPr>
        <w:rPr>
          <w:sz w:val="22"/>
          <w:lang w:val="es-ES_tradnl"/>
        </w:rPr>
      </w:pPr>
      <w:r w:rsidRPr="001152C4">
        <w:rPr>
          <w:sz w:val="22"/>
          <w:lang w:val="es-ES_tradnl"/>
        </w:rPr>
        <w:t>Por ello, se recomienda que</w:t>
      </w:r>
      <w:r w:rsidR="000E704A">
        <w:rPr>
          <w:sz w:val="22"/>
          <w:lang w:val="es-ES_tradnl"/>
        </w:rPr>
        <w:t xml:space="preserve"> las municipalidades </w:t>
      </w:r>
      <w:r w:rsidRPr="001152C4">
        <w:rPr>
          <w:sz w:val="22"/>
          <w:lang w:val="es-ES_tradnl"/>
        </w:rPr>
        <w:t xml:space="preserve">realicen o establezcan un mecanismo de monitoreo de los efectos de la regulación. </w:t>
      </w:r>
      <w:r w:rsidR="00321BB1">
        <w:rPr>
          <w:sz w:val="22"/>
          <w:lang w:val="es-ES_tradnl"/>
        </w:rPr>
        <w:t xml:space="preserve">Con </w:t>
      </w:r>
      <w:r w:rsidRPr="001152C4">
        <w:rPr>
          <w:sz w:val="22"/>
          <w:lang w:val="es-ES_tradnl"/>
        </w:rPr>
        <w:t xml:space="preserve">base </w:t>
      </w:r>
      <w:r w:rsidR="00321BB1">
        <w:rPr>
          <w:sz w:val="22"/>
          <w:lang w:val="es-ES_tradnl"/>
        </w:rPr>
        <w:t>en</w:t>
      </w:r>
      <w:r w:rsidRPr="001152C4">
        <w:rPr>
          <w:sz w:val="22"/>
          <w:lang w:val="es-ES_tradnl"/>
        </w:rPr>
        <w:t xml:space="preserve"> los resultados del monitoreo, se recomienda una evaluación periódica para determinar si los objetivos se han cumplido, si la normativa ha generado efectos adversos adicionales y si </w:t>
      </w:r>
      <w:r w:rsidR="003658C4" w:rsidRPr="001152C4">
        <w:rPr>
          <w:sz w:val="22"/>
          <w:lang w:val="es-ES_tradnl"/>
        </w:rPr>
        <w:t xml:space="preserve">su vigencia </w:t>
      </w:r>
      <w:r w:rsidRPr="001152C4">
        <w:rPr>
          <w:sz w:val="22"/>
          <w:lang w:val="es-ES_tradnl"/>
        </w:rPr>
        <w:t>sigue siendo necesaria y proporcional</w:t>
      </w:r>
      <w:r w:rsidR="003658C4" w:rsidRPr="001152C4">
        <w:rPr>
          <w:sz w:val="22"/>
          <w:lang w:val="es-ES_tradnl"/>
        </w:rPr>
        <w:t xml:space="preserve">. </w:t>
      </w:r>
    </w:p>
    <w:p w14:paraId="3AE406BE" w14:textId="4C8D7A28" w:rsidR="003658C4" w:rsidRPr="001152C4" w:rsidRDefault="003658C4" w:rsidP="006830FD">
      <w:pPr>
        <w:rPr>
          <w:sz w:val="22"/>
          <w:lang w:val="es-ES_tradnl"/>
        </w:rPr>
      </w:pPr>
      <w:r w:rsidRPr="001152C4">
        <w:rPr>
          <w:sz w:val="22"/>
          <w:lang w:val="es-ES_tradnl"/>
        </w:rPr>
        <w:t xml:space="preserve">Establecer en la regulación plazos de vigencia de las medidas o plazos para realizar las evaluaciones periódicas puede mejorar la calidad de la regulación en algunos casos. </w:t>
      </w:r>
    </w:p>
    <w:p w14:paraId="23E4279A" w14:textId="6B39B3D0" w:rsidR="006830FD" w:rsidRPr="001152C4" w:rsidRDefault="006830FD" w:rsidP="00BD08A1">
      <w:pPr>
        <w:pStyle w:val="Ttulo2"/>
      </w:pPr>
      <w:bookmarkStart w:id="66" w:name="_Toc160698873"/>
      <w:bookmarkEnd w:id="65"/>
      <w:r w:rsidRPr="001152C4">
        <w:t>Corrección de medidas</w:t>
      </w:r>
      <w:bookmarkEnd w:id="66"/>
    </w:p>
    <w:p w14:paraId="1FB4341E" w14:textId="43E89689" w:rsidR="006830FD" w:rsidRPr="001152C4" w:rsidRDefault="003658C4" w:rsidP="006830FD">
      <w:pPr>
        <w:rPr>
          <w:sz w:val="22"/>
          <w:lang w:val="es-ES_tradnl"/>
        </w:rPr>
      </w:pPr>
      <w:bookmarkStart w:id="67" w:name="_Hlk138149077"/>
      <w:r w:rsidRPr="001152C4">
        <w:rPr>
          <w:sz w:val="22"/>
          <w:lang w:val="es-ES_tradnl"/>
        </w:rPr>
        <w:t xml:space="preserve">Al comprobarse que la normativa genera más efectos negativos que positivos o que la normativa ya no es necesaria o proporcional, corresponde adoptar medidas correctivas, modificando o derogando la restricción a la competencia. </w:t>
      </w:r>
    </w:p>
    <w:bookmarkEnd w:id="67"/>
    <w:p w14:paraId="38FD6EAB" w14:textId="0AE8BE96" w:rsidR="006830FD" w:rsidRPr="001152C4" w:rsidRDefault="006830FD" w:rsidP="006830FD">
      <w:pPr>
        <w:rPr>
          <w:sz w:val="22"/>
          <w:lang w:val="es-ES_tradnl"/>
        </w:rPr>
      </w:pPr>
    </w:p>
    <w:p w14:paraId="1DE425CF" w14:textId="548B3B35" w:rsidR="00101B61" w:rsidRPr="001152C4" w:rsidRDefault="00101B61">
      <w:pPr>
        <w:widowControl/>
        <w:spacing w:before="0" w:line="259" w:lineRule="auto"/>
        <w:jc w:val="left"/>
        <w:rPr>
          <w:sz w:val="22"/>
          <w:lang w:val="es-ES_tradnl"/>
        </w:rPr>
      </w:pPr>
      <w:r w:rsidRPr="001152C4">
        <w:rPr>
          <w:sz w:val="22"/>
          <w:lang w:val="es-ES_tradnl"/>
        </w:rPr>
        <w:br w:type="page"/>
      </w:r>
    </w:p>
    <w:p w14:paraId="7C6B4541" w14:textId="77777777" w:rsidR="00101B61" w:rsidRDefault="00101B61" w:rsidP="006830FD">
      <w:pPr>
        <w:rPr>
          <w:sz w:val="22"/>
          <w:lang w:val="es-ES_tradnl"/>
        </w:rPr>
      </w:pPr>
    </w:p>
    <w:p w14:paraId="3EF45EBC" w14:textId="3ED1868F" w:rsidR="0045241C" w:rsidRDefault="0045241C" w:rsidP="00B17053">
      <w:pPr>
        <w:pStyle w:val="Ttulo1"/>
        <w:rPr>
          <w:lang w:val="es-ES_tradnl"/>
        </w:rPr>
      </w:pPr>
      <w:bookmarkStart w:id="68" w:name="_Toc160698874"/>
      <w:r>
        <w:rPr>
          <w:lang w:val="es-ES_tradnl"/>
        </w:rPr>
        <w:t xml:space="preserve">¿Cómo puede </w:t>
      </w:r>
      <w:r w:rsidR="00932844">
        <w:rPr>
          <w:lang w:val="es-ES_tradnl"/>
        </w:rPr>
        <w:t xml:space="preserve">asistir </w:t>
      </w:r>
      <w:r>
        <w:rPr>
          <w:lang w:val="es-ES_tradnl"/>
        </w:rPr>
        <w:t>la CONACOM</w:t>
      </w:r>
      <w:r w:rsidR="00932844">
        <w:rPr>
          <w:lang w:val="es-ES_tradnl"/>
        </w:rPr>
        <w:t xml:space="preserve"> en la tarea regulatoria</w:t>
      </w:r>
      <w:r>
        <w:rPr>
          <w:lang w:val="es-ES_tradnl"/>
        </w:rPr>
        <w:t>?</w:t>
      </w:r>
      <w:bookmarkEnd w:id="68"/>
    </w:p>
    <w:p w14:paraId="7DEE6782" w14:textId="6D1D50DB" w:rsidR="0045241C" w:rsidRDefault="0045241C" w:rsidP="006830FD">
      <w:pPr>
        <w:rPr>
          <w:sz w:val="22"/>
          <w:lang w:val="es-ES_tradnl"/>
        </w:rPr>
      </w:pPr>
      <w:bookmarkStart w:id="69" w:name="_Hlk138149172"/>
      <w:r>
        <w:rPr>
          <w:sz w:val="22"/>
          <w:lang w:val="es-ES_tradnl"/>
        </w:rPr>
        <w:t xml:space="preserve">Como se mencionó en la primera sección de esta Guía, la CONACOM tiene la doble misión de promover y defender la libre competencia. </w:t>
      </w:r>
    </w:p>
    <w:p w14:paraId="16CA5F97" w14:textId="77777777" w:rsidR="0045241C" w:rsidRDefault="0045241C" w:rsidP="006830FD">
      <w:pPr>
        <w:rPr>
          <w:sz w:val="22"/>
          <w:lang w:val="es-ES_tradnl"/>
        </w:rPr>
      </w:pPr>
      <w:r>
        <w:rPr>
          <w:sz w:val="22"/>
          <w:lang w:val="es-ES_tradnl"/>
        </w:rPr>
        <w:t xml:space="preserve">En su misión de promover la libre competencia, la institución realiza periódicamente actividades de capacitación y concienciación sobre los beneficios de la libre competencia. Estas actividades pueden estar abiertas al público en general o dirigidas específicamente a ciertos sectores. </w:t>
      </w:r>
    </w:p>
    <w:p w14:paraId="76CB9F4C" w14:textId="270A7E57" w:rsidR="0045241C" w:rsidRDefault="0045241C" w:rsidP="006830FD">
      <w:pPr>
        <w:rPr>
          <w:sz w:val="22"/>
          <w:lang w:val="es-ES_tradnl"/>
        </w:rPr>
      </w:pPr>
      <w:r>
        <w:rPr>
          <w:sz w:val="22"/>
          <w:lang w:val="es-ES_tradnl"/>
        </w:rPr>
        <w:t xml:space="preserve">Todos los interesados pueden consultar las convocatorias abiertas para actividades de capacitación en nuestro portal </w:t>
      </w:r>
      <w:hyperlink r:id="rId8" w:history="1">
        <w:r w:rsidRPr="007437D8">
          <w:rPr>
            <w:rStyle w:val="Hipervnculo"/>
            <w:sz w:val="22"/>
            <w:lang w:val="es-ES_tradnl"/>
          </w:rPr>
          <w:t>www.conacom.gov.py</w:t>
        </w:r>
      </w:hyperlink>
      <w:r>
        <w:rPr>
          <w:sz w:val="22"/>
          <w:lang w:val="es-ES_tradnl"/>
        </w:rPr>
        <w:t xml:space="preserve">. </w:t>
      </w:r>
    </w:p>
    <w:p w14:paraId="69EAF28E" w14:textId="2D339F34" w:rsidR="0045241C" w:rsidRDefault="0045241C" w:rsidP="006830FD">
      <w:pPr>
        <w:rPr>
          <w:sz w:val="22"/>
          <w:lang w:val="es-ES_tradnl"/>
        </w:rPr>
      </w:pPr>
      <w:r>
        <w:rPr>
          <w:sz w:val="22"/>
          <w:lang w:val="es-ES_tradnl"/>
        </w:rPr>
        <w:t xml:space="preserve">Asimismo, las instituciones públicas pueden solicitar capacitaciones específicas sobre temas de competencia, incluyendo sobre esta Guía, escribiendo al correo </w:t>
      </w:r>
      <w:hyperlink r:id="rId9" w:history="1">
        <w:r w:rsidRPr="007437D8">
          <w:rPr>
            <w:rStyle w:val="Hipervnculo"/>
            <w:sz w:val="22"/>
            <w:lang w:val="es-ES_tradnl"/>
          </w:rPr>
          <w:t>promocion@conacom.gov.py</w:t>
        </w:r>
      </w:hyperlink>
      <w:r>
        <w:rPr>
          <w:sz w:val="22"/>
          <w:lang w:val="es-ES_tradnl"/>
        </w:rPr>
        <w:t xml:space="preserve">, de manera a coordinar una actividad, sujeta a disponibilidad de tiempo y recursos. </w:t>
      </w:r>
    </w:p>
    <w:p w14:paraId="6AE8F6FB" w14:textId="1C6A1205" w:rsidR="009E6C92" w:rsidRDefault="009E6C92" w:rsidP="006830FD">
      <w:pPr>
        <w:rPr>
          <w:sz w:val="22"/>
          <w:lang w:val="es-ES_tradnl"/>
        </w:rPr>
      </w:pPr>
      <w:r>
        <w:rPr>
          <w:sz w:val="22"/>
          <w:lang w:val="es-ES_tradnl"/>
        </w:rPr>
        <w:t xml:space="preserve">Las instituciones públicas también pueden solicitar reuniones para tratar temas de competencia en regulaciones u otras actividades de interés con funcionarios de la CONACOM, las cuales pueden ser virtuales o presenciales, sujetas a disponibilidad de tiempo y recursos. </w:t>
      </w:r>
    </w:p>
    <w:p w14:paraId="2D125A12" w14:textId="4870CF40" w:rsidR="0045241C" w:rsidRDefault="0045241C" w:rsidP="006830FD">
      <w:pPr>
        <w:rPr>
          <w:sz w:val="22"/>
          <w:lang w:val="es-ES_tradnl"/>
        </w:rPr>
      </w:pPr>
      <w:r>
        <w:rPr>
          <w:sz w:val="22"/>
          <w:lang w:val="es-ES_tradnl"/>
        </w:rPr>
        <w:t xml:space="preserve">De igual manera, el Directorio de la CONACOM emite periódicamente opiniones no vinculantes sobre proyectos normativos y normativas vigentes. </w:t>
      </w:r>
      <w:r w:rsidR="00CA5313">
        <w:rPr>
          <w:sz w:val="22"/>
          <w:lang w:val="es-ES_tradnl"/>
        </w:rPr>
        <w:t xml:space="preserve">Si una </w:t>
      </w:r>
      <w:r w:rsidR="0018457D">
        <w:rPr>
          <w:sz w:val="22"/>
          <w:lang w:val="es-ES_tradnl"/>
        </w:rPr>
        <w:t xml:space="preserve">municipalidad </w:t>
      </w:r>
      <w:r w:rsidR="00CA5313">
        <w:rPr>
          <w:sz w:val="22"/>
          <w:lang w:val="es-ES_tradnl"/>
        </w:rPr>
        <w:t>está</w:t>
      </w:r>
      <w:r>
        <w:rPr>
          <w:sz w:val="22"/>
          <w:lang w:val="es-ES_tradnl"/>
        </w:rPr>
        <w:t xml:space="preserve"> interesada</w:t>
      </w:r>
      <w:r w:rsidR="00CA5313">
        <w:rPr>
          <w:sz w:val="22"/>
          <w:lang w:val="es-ES_tradnl"/>
        </w:rPr>
        <w:t xml:space="preserve"> en</w:t>
      </w:r>
      <w:r>
        <w:rPr>
          <w:sz w:val="22"/>
          <w:lang w:val="es-ES_tradnl"/>
        </w:rPr>
        <w:t xml:space="preserve"> obtener una opinión </w:t>
      </w:r>
      <w:r w:rsidR="00CA5313">
        <w:rPr>
          <w:sz w:val="22"/>
          <w:lang w:val="es-ES_tradnl"/>
        </w:rPr>
        <w:t xml:space="preserve">no vinculante, </w:t>
      </w:r>
      <w:r>
        <w:rPr>
          <w:sz w:val="22"/>
          <w:lang w:val="es-ES_tradnl"/>
        </w:rPr>
        <w:t>puede solicitarla enviando la consulta con todos los documentos relevantes a</w:t>
      </w:r>
      <w:r w:rsidR="009E6C92">
        <w:rPr>
          <w:sz w:val="22"/>
          <w:lang w:val="es-ES_tradnl"/>
        </w:rPr>
        <w:t xml:space="preserve"> la mesa de entrada institucional, al</w:t>
      </w:r>
      <w:r>
        <w:rPr>
          <w:sz w:val="22"/>
          <w:lang w:val="es-ES_tradnl"/>
        </w:rPr>
        <w:t xml:space="preserve"> correo </w:t>
      </w:r>
      <w:hyperlink r:id="rId10" w:history="1">
        <w:r w:rsidRPr="007437D8">
          <w:rPr>
            <w:rStyle w:val="Hipervnculo"/>
            <w:sz w:val="22"/>
            <w:lang w:val="es-ES_tradnl"/>
          </w:rPr>
          <w:t>conacom@conacom.gov.py</w:t>
        </w:r>
      </w:hyperlink>
      <w:r>
        <w:rPr>
          <w:sz w:val="22"/>
          <w:lang w:val="es-ES_tradnl"/>
        </w:rPr>
        <w:t xml:space="preserve">. </w:t>
      </w:r>
    </w:p>
    <w:p w14:paraId="4B414CE2" w14:textId="5F8DF7D4" w:rsidR="009E6C92" w:rsidRDefault="009E6C92" w:rsidP="006830FD">
      <w:pPr>
        <w:rPr>
          <w:sz w:val="22"/>
          <w:lang w:val="es-ES_tradnl"/>
        </w:rPr>
      </w:pPr>
      <w:r>
        <w:rPr>
          <w:sz w:val="22"/>
          <w:lang w:val="es-ES_tradnl"/>
        </w:rPr>
        <w:t>Los funcionarios de la CONACOM están asimismo dispuestos a asistirle telefónicamente con los procedimientos internos en la institución que conllevan la organizaci</w:t>
      </w:r>
      <w:r w:rsidR="00CA5313">
        <w:rPr>
          <w:sz w:val="22"/>
          <w:lang w:val="es-ES_tradnl"/>
        </w:rPr>
        <w:t>ón</w:t>
      </w:r>
      <w:r>
        <w:rPr>
          <w:sz w:val="22"/>
          <w:lang w:val="es-ES_tradnl"/>
        </w:rPr>
        <w:t xml:space="preserve"> de capacitaciones y reuniones y la emisión de opiniones, pudiendo llamar para ello al 021-208-707/8. </w:t>
      </w:r>
    </w:p>
    <w:p w14:paraId="2E6441B5" w14:textId="28016FAF" w:rsidR="00932844" w:rsidRDefault="00932844" w:rsidP="006830FD">
      <w:pPr>
        <w:rPr>
          <w:sz w:val="22"/>
          <w:lang w:val="es-ES_tradnl"/>
        </w:rPr>
      </w:pPr>
      <w:r>
        <w:rPr>
          <w:sz w:val="22"/>
          <w:lang w:val="es-ES_tradnl"/>
        </w:rPr>
        <w:t xml:space="preserve">Se recuerda, sin embargo, que la CONACOM no tiene atribuciones para tomar decisiones en materia regulatoria más allá de las disposiciones de la LDC, asumiendo exclusivamente un rol de asistencia o asesoría para la </w:t>
      </w:r>
      <w:r w:rsidR="0018457D">
        <w:rPr>
          <w:sz w:val="22"/>
          <w:lang w:val="es-ES_tradnl"/>
        </w:rPr>
        <w:t xml:space="preserve">municipalidad </w:t>
      </w:r>
      <w:r>
        <w:rPr>
          <w:sz w:val="22"/>
          <w:lang w:val="es-ES_tradnl"/>
        </w:rPr>
        <w:t xml:space="preserve">en su tarea regulatoria. </w:t>
      </w:r>
    </w:p>
    <w:bookmarkEnd w:id="69"/>
    <w:p w14:paraId="3BF099A8" w14:textId="77777777" w:rsidR="0045241C" w:rsidRDefault="0045241C" w:rsidP="006830FD">
      <w:pPr>
        <w:rPr>
          <w:sz w:val="22"/>
          <w:lang w:val="es-ES_tradnl"/>
        </w:rPr>
      </w:pPr>
    </w:p>
    <w:p w14:paraId="24D8CB37" w14:textId="77777777" w:rsidR="0045241C" w:rsidRDefault="0045241C" w:rsidP="006830FD">
      <w:pPr>
        <w:rPr>
          <w:sz w:val="22"/>
          <w:lang w:val="es-ES_tradnl"/>
        </w:rPr>
      </w:pPr>
    </w:p>
    <w:p w14:paraId="1DAECB69" w14:textId="07BBCE3A" w:rsidR="0045241C" w:rsidRDefault="0045241C">
      <w:pPr>
        <w:widowControl/>
        <w:spacing w:before="0" w:line="259" w:lineRule="auto"/>
        <w:jc w:val="left"/>
        <w:rPr>
          <w:sz w:val="22"/>
          <w:lang w:val="es-ES_tradnl"/>
        </w:rPr>
      </w:pPr>
      <w:r>
        <w:rPr>
          <w:sz w:val="22"/>
          <w:lang w:val="es-ES_tradnl"/>
        </w:rPr>
        <w:br w:type="page"/>
      </w:r>
    </w:p>
    <w:p w14:paraId="244EA0B1" w14:textId="77777777" w:rsidR="0045241C" w:rsidRPr="001152C4" w:rsidRDefault="0045241C" w:rsidP="006830FD">
      <w:pPr>
        <w:rPr>
          <w:sz w:val="22"/>
          <w:lang w:val="es-ES_tradnl"/>
        </w:rPr>
      </w:pPr>
    </w:p>
    <w:p w14:paraId="73E394EE" w14:textId="6089D64C" w:rsidR="006830FD" w:rsidRPr="001152C4" w:rsidRDefault="00FE0713" w:rsidP="00FE0713">
      <w:pPr>
        <w:pStyle w:val="Ttulo1"/>
        <w:rPr>
          <w:sz w:val="22"/>
          <w:lang w:val="es-ES_tradnl"/>
        </w:rPr>
      </w:pPr>
      <w:bookmarkStart w:id="70" w:name="_Toc160698875"/>
      <w:r w:rsidRPr="001152C4">
        <w:rPr>
          <w:sz w:val="22"/>
          <w:lang w:val="es-ES_tradnl"/>
        </w:rPr>
        <w:t>Ejemplos</w:t>
      </w:r>
      <w:bookmarkEnd w:id="70"/>
    </w:p>
    <w:p w14:paraId="5C3DBB46" w14:textId="62FA285D" w:rsidR="00CD4E7E" w:rsidRDefault="00CD4E7E" w:rsidP="00CD4E7E">
      <w:pPr>
        <w:rPr>
          <w:sz w:val="22"/>
          <w:lang w:val="es-ES_tradnl"/>
        </w:rPr>
      </w:pPr>
      <w:bookmarkStart w:id="71" w:name="_Hlk138149234"/>
      <w:r w:rsidRPr="001152C4">
        <w:rPr>
          <w:sz w:val="22"/>
          <w:lang w:val="es-ES_tradnl"/>
        </w:rPr>
        <w:t xml:space="preserve">Esta sección incluye ejemplos sobre los escenarios de las barreras regulatorias a la competencia señalados anteriormente, principalmente sobre la base de la experiencia de la CONACOM, aunque en algunos casos, se toman como referencia ejemplos en otros países. </w:t>
      </w:r>
    </w:p>
    <w:p w14:paraId="2F5BE22D" w14:textId="07AE5926" w:rsidR="00F55F37" w:rsidRDefault="00F55F37" w:rsidP="00CD4E7E">
      <w:pPr>
        <w:rPr>
          <w:sz w:val="22"/>
          <w:lang w:val="es-ES_tradnl"/>
        </w:rPr>
      </w:pPr>
      <w:r>
        <w:rPr>
          <w:sz w:val="22"/>
          <w:lang w:val="es-ES_tradnl"/>
        </w:rPr>
        <w:t xml:space="preserve">Se priorizan, en los casos posibles, ejemplos provenientes de opiniones de la CONACOM referidas a normativas municipales, que a la fecha de esta Opinión son: </w:t>
      </w:r>
    </w:p>
    <w:p w14:paraId="5151D9DB" w14:textId="2932AF5F" w:rsidR="00F55F37" w:rsidRDefault="00F55F37" w:rsidP="00F55F37">
      <w:pPr>
        <w:pStyle w:val="Prrafodelista"/>
        <w:numPr>
          <w:ilvl w:val="0"/>
          <w:numId w:val="6"/>
        </w:numPr>
        <w:rPr>
          <w:sz w:val="22"/>
          <w:lang w:val="es-PY"/>
        </w:rPr>
      </w:pPr>
      <w:r w:rsidRPr="00F55F37">
        <w:rPr>
          <w:sz w:val="22"/>
          <w:lang w:val="es-PY"/>
        </w:rPr>
        <w:t>Opinión D/RD N° 1/2021 sobre</w:t>
      </w:r>
      <w:r>
        <w:rPr>
          <w:sz w:val="22"/>
          <w:lang w:val="es-PY"/>
        </w:rPr>
        <w:t xml:space="preserve"> r</w:t>
      </w:r>
      <w:r w:rsidRPr="00F55F37">
        <w:rPr>
          <w:sz w:val="22"/>
          <w:lang w:val="es-PY"/>
        </w:rPr>
        <w:t>egulación de los servicios de transporte de personas en vehículos contratados por medio de aplicaciones digitales</w:t>
      </w:r>
      <w:r w:rsidR="00AD229C">
        <w:rPr>
          <w:rStyle w:val="Refdenotaalpie"/>
          <w:sz w:val="22"/>
          <w:lang w:val="es-PY"/>
        </w:rPr>
        <w:footnoteReference w:id="87"/>
      </w:r>
      <w:r>
        <w:rPr>
          <w:sz w:val="22"/>
          <w:lang w:val="es-PY"/>
        </w:rPr>
        <w:t xml:space="preserve">; </w:t>
      </w:r>
    </w:p>
    <w:p w14:paraId="4E3FD2DD" w14:textId="5A67F83C" w:rsidR="00F55F37" w:rsidRDefault="00F55F37" w:rsidP="00F55F37">
      <w:pPr>
        <w:pStyle w:val="Prrafodelista"/>
        <w:numPr>
          <w:ilvl w:val="0"/>
          <w:numId w:val="6"/>
        </w:numPr>
        <w:rPr>
          <w:sz w:val="22"/>
          <w:lang w:val="es-PY"/>
        </w:rPr>
      </w:pPr>
      <w:r>
        <w:rPr>
          <w:sz w:val="22"/>
          <w:lang w:val="es-PY"/>
        </w:rPr>
        <w:t xml:space="preserve">Opinión D/01/2021 sobre </w:t>
      </w:r>
      <w:r w:rsidR="005759C2">
        <w:rPr>
          <w:sz w:val="22"/>
          <w:lang w:val="es-PY"/>
        </w:rPr>
        <w:t xml:space="preserve">la Ordenanza N° 326/2021 </w:t>
      </w:r>
      <w:r w:rsidR="005759C2">
        <w:rPr>
          <w:i/>
          <w:iCs/>
          <w:sz w:val="22"/>
          <w:lang w:val="es-PY"/>
        </w:rPr>
        <w:t>Que establece la provisión, manipuleo, almacenamiento de combustibles, líquidos y gaseosos, así como el funcionamiento de los locales, destinados a su comercialización y actividades afines</w:t>
      </w:r>
      <w:r w:rsidR="00AD229C">
        <w:rPr>
          <w:rStyle w:val="Refdenotaalpie"/>
          <w:i/>
          <w:iCs/>
          <w:sz w:val="22"/>
          <w:lang w:val="es-PY"/>
        </w:rPr>
        <w:footnoteReference w:id="88"/>
      </w:r>
      <w:r w:rsidR="005759C2">
        <w:rPr>
          <w:sz w:val="22"/>
          <w:lang w:val="es-PY"/>
        </w:rPr>
        <w:t xml:space="preserve">; </w:t>
      </w:r>
    </w:p>
    <w:p w14:paraId="04625398" w14:textId="49CA45EE" w:rsidR="005759C2" w:rsidRDefault="005759C2" w:rsidP="00F55F37">
      <w:pPr>
        <w:pStyle w:val="Prrafodelista"/>
        <w:numPr>
          <w:ilvl w:val="0"/>
          <w:numId w:val="6"/>
        </w:numPr>
        <w:rPr>
          <w:sz w:val="22"/>
          <w:lang w:val="es-PY"/>
        </w:rPr>
      </w:pPr>
      <w:r>
        <w:rPr>
          <w:sz w:val="22"/>
          <w:lang w:val="es-PY"/>
        </w:rPr>
        <w:t xml:space="preserve">Opinión D/04/2022 sobre la Ordenanza N° 34/2019 de la Municipalidad de Capiatá </w:t>
      </w:r>
      <w:r>
        <w:rPr>
          <w:i/>
          <w:iCs/>
          <w:sz w:val="22"/>
          <w:lang w:val="es-PY"/>
        </w:rPr>
        <w:t>Que reglamenta la habilitación, permisión y prestación del servicio VTC basado en la plataforma digital dentro del Municipio de Capiatá</w:t>
      </w:r>
      <w:r w:rsidR="00AD229C">
        <w:rPr>
          <w:rStyle w:val="Refdenotaalpie"/>
          <w:i/>
          <w:iCs/>
          <w:sz w:val="22"/>
          <w:lang w:val="es-PY"/>
        </w:rPr>
        <w:footnoteReference w:id="89"/>
      </w:r>
      <w:r>
        <w:rPr>
          <w:sz w:val="22"/>
          <w:lang w:val="es-PY"/>
        </w:rPr>
        <w:t>; y</w:t>
      </w:r>
    </w:p>
    <w:p w14:paraId="47CB88DE" w14:textId="3B2485E2" w:rsidR="005759C2" w:rsidRPr="00F55F37" w:rsidRDefault="005759C2" w:rsidP="00F55F37">
      <w:pPr>
        <w:pStyle w:val="Prrafodelista"/>
        <w:numPr>
          <w:ilvl w:val="0"/>
          <w:numId w:val="6"/>
        </w:numPr>
        <w:rPr>
          <w:sz w:val="22"/>
          <w:lang w:val="es-PY"/>
        </w:rPr>
      </w:pPr>
      <w:r>
        <w:rPr>
          <w:sz w:val="22"/>
          <w:lang w:val="es-PY"/>
        </w:rPr>
        <w:t>Opinión D/01/2024 sobre el sector de desinfección, desinsectación y desratización</w:t>
      </w:r>
      <w:r w:rsidR="00AD229C">
        <w:rPr>
          <w:rStyle w:val="Refdenotaalpie"/>
          <w:sz w:val="22"/>
          <w:lang w:val="es-PY"/>
        </w:rPr>
        <w:footnoteReference w:id="90"/>
      </w:r>
      <w:r>
        <w:rPr>
          <w:sz w:val="22"/>
          <w:lang w:val="es-PY"/>
        </w:rPr>
        <w:t xml:space="preserve">. </w:t>
      </w:r>
    </w:p>
    <w:p w14:paraId="31EB6F4C" w14:textId="2A7771FA" w:rsidR="00CD4E7E" w:rsidRPr="001152C4" w:rsidRDefault="00CD4E7E" w:rsidP="00CD4E7E">
      <w:pPr>
        <w:rPr>
          <w:sz w:val="22"/>
          <w:lang w:val="es-ES_tradnl"/>
        </w:rPr>
      </w:pPr>
      <w:r w:rsidRPr="001152C4">
        <w:rPr>
          <w:sz w:val="22"/>
          <w:lang w:val="es-ES_tradnl"/>
        </w:rPr>
        <w:t xml:space="preserve">Cabe destacar que esta sección se ofrece con fines exclusivamente ilustrativos y no pretende resumir la totalidad de los argumentos esgrimidos en cada Opinión emitida. Para </w:t>
      </w:r>
      <w:proofErr w:type="gramStart"/>
      <w:r w:rsidRPr="001152C4">
        <w:rPr>
          <w:sz w:val="22"/>
          <w:lang w:val="es-ES_tradnl"/>
        </w:rPr>
        <w:t>mayor información</w:t>
      </w:r>
      <w:proofErr w:type="gramEnd"/>
      <w:r w:rsidRPr="001152C4">
        <w:rPr>
          <w:sz w:val="22"/>
          <w:lang w:val="es-ES_tradnl"/>
        </w:rPr>
        <w:t xml:space="preserve"> en cada caso, se recomienda consultar los documentos que se encuentran disponibles en el portal de la CONACOM</w:t>
      </w:r>
      <w:r w:rsidRPr="001152C4">
        <w:rPr>
          <w:rStyle w:val="Refdenotaalpie"/>
          <w:sz w:val="22"/>
          <w:lang w:val="es-ES_tradnl"/>
        </w:rPr>
        <w:footnoteReference w:id="91"/>
      </w:r>
      <w:r w:rsidRPr="001152C4">
        <w:rPr>
          <w:sz w:val="22"/>
          <w:lang w:val="es-ES_tradnl"/>
        </w:rPr>
        <w:t xml:space="preserve">. </w:t>
      </w:r>
    </w:p>
    <w:p w14:paraId="41D23FB3" w14:textId="1C7D3DE1" w:rsidR="00FE0713" w:rsidRPr="001152C4" w:rsidRDefault="007218CE" w:rsidP="00BD08A1">
      <w:pPr>
        <w:pStyle w:val="Ttulo2"/>
      </w:pPr>
      <w:bookmarkStart w:id="72" w:name="_Toc160698876"/>
      <w:r w:rsidRPr="001152C4">
        <w:t>Normas que limitan la cantidad de proveedores</w:t>
      </w:r>
      <w:bookmarkEnd w:id="72"/>
    </w:p>
    <w:p w14:paraId="087EAFD4" w14:textId="77777777" w:rsidR="00FE0713" w:rsidRDefault="00FE0713" w:rsidP="00BD08A1">
      <w:pPr>
        <w:pStyle w:val="Ttulo3"/>
      </w:pPr>
      <w:bookmarkStart w:id="73" w:name="_Toc160698877"/>
      <w:r w:rsidRPr="001152C4">
        <w:t>Derechos exclusivos</w:t>
      </w:r>
      <w:bookmarkEnd w:id="73"/>
    </w:p>
    <w:p w14:paraId="3F6B58E3" w14:textId="163332E8" w:rsidR="0080526A" w:rsidRDefault="0080526A" w:rsidP="0080526A">
      <w:pPr>
        <w:rPr>
          <w:sz w:val="22"/>
          <w:lang w:val="es-ES_tradnl"/>
        </w:rPr>
      </w:pPr>
      <w:r>
        <w:rPr>
          <w:sz w:val="22"/>
          <w:lang w:val="es-ES_tradnl"/>
        </w:rPr>
        <w:lastRenderedPageBreak/>
        <w:t>Como se presenta en la Opinión del Directorio D/01/2024</w:t>
      </w:r>
      <w:r>
        <w:rPr>
          <w:rStyle w:val="Refdenotaalpie"/>
          <w:sz w:val="22"/>
          <w:lang w:val="es-ES_tradnl"/>
        </w:rPr>
        <w:footnoteReference w:id="92"/>
      </w:r>
      <w:r>
        <w:rPr>
          <w:sz w:val="22"/>
          <w:lang w:val="es-ES_tradnl"/>
        </w:rPr>
        <w:t xml:space="preserve">, algunas municipalidades conceden el servicio de desinfección, desinsectación y desratización a una única empresa. </w:t>
      </w:r>
    </w:p>
    <w:p w14:paraId="5B9FC43D" w14:textId="143DDA5A" w:rsidR="0080526A" w:rsidRPr="0080526A" w:rsidRDefault="0080526A" w:rsidP="0080526A">
      <w:pPr>
        <w:rPr>
          <w:sz w:val="22"/>
          <w:lang w:val="es-ES_tradnl"/>
        </w:rPr>
      </w:pPr>
      <w:r>
        <w:rPr>
          <w:sz w:val="22"/>
          <w:lang w:val="es-ES_tradnl"/>
        </w:rPr>
        <w:t xml:space="preserve">El Directorio de la CONACOM no ha encontrado bases suficientes para que el servicio sea concedido a una única empresa, atendiendo la existencia de un registro del Ministerio de Salud Pública y Bienestar Social, con numerosas empresas habilitadas a participar en el mercado.  </w:t>
      </w:r>
    </w:p>
    <w:p w14:paraId="20E30608" w14:textId="77777777" w:rsidR="00FE0713" w:rsidRPr="001152C4" w:rsidRDefault="00FE0713" w:rsidP="00BD08A1">
      <w:pPr>
        <w:pStyle w:val="Ttulo3"/>
      </w:pPr>
      <w:bookmarkStart w:id="74" w:name="_Toc160698878"/>
      <w:r w:rsidRPr="001152C4">
        <w:t>Requisitos de una habilitación</w:t>
      </w:r>
      <w:bookmarkEnd w:id="74"/>
    </w:p>
    <w:p w14:paraId="61A3A6E2" w14:textId="1000C8A5" w:rsidR="0080526A" w:rsidRDefault="0080526A" w:rsidP="007218CE">
      <w:pPr>
        <w:rPr>
          <w:sz w:val="22"/>
          <w:lang w:val="es-ES_tradnl"/>
        </w:rPr>
      </w:pPr>
      <w:r>
        <w:rPr>
          <w:sz w:val="22"/>
          <w:lang w:val="es-ES_tradnl"/>
        </w:rPr>
        <w:t>En 2021, con motivo de la Opinión D/RD N° 1/2021 que estudió el sector de plataformas digitales de transporte en ocasión del análisis de una ordenanza de la municipalidad de Ciudad del Este, se observó que constitu</w:t>
      </w:r>
      <w:r w:rsidR="00B200E4">
        <w:rPr>
          <w:sz w:val="22"/>
          <w:lang w:val="es-ES_tradnl"/>
        </w:rPr>
        <w:t>ye</w:t>
      </w:r>
      <w:r>
        <w:rPr>
          <w:sz w:val="22"/>
          <w:lang w:val="es-ES_tradnl"/>
        </w:rPr>
        <w:t xml:space="preserve"> una barrera a la competencia que se exija a los choferes contar con una licencia de categorías especiales, en lugar de licencias que correspondan para el vehículo utilizado para la prestación del servicio</w:t>
      </w:r>
      <w:r>
        <w:rPr>
          <w:rStyle w:val="Refdenotaalpie"/>
          <w:sz w:val="22"/>
          <w:lang w:val="es-ES_tradnl"/>
        </w:rPr>
        <w:footnoteReference w:id="93"/>
      </w:r>
      <w:r>
        <w:rPr>
          <w:sz w:val="22"/>
          <w:lang w:val="es-ES_tradnl"/>
        </w:rPr>
        <w:t xml:space="preserve">. </w:t>
      </w:r>
    </w:p>
    <w:p w14:paraId="35EED94D" w14:textId="3EB057F1" w:rsidR="00FE0713" w:rsidRPr="001152C4" w:rsidRDefault="000D7F80" w:rsidP="00BD08A1">
      <w:pPr>
        <w:pStyle w:val="Ttulo3"/>
      </w:pPr>
      <w:bookmarkStart w:id="75" w:name="_Toc160698879"/>
      <w:r w:rsidRPr="001152C4">
        <w:t>Cantidad limitada de competidores</w:t>
      </w:r>
      <w:bookmarkEnd w:id="75"/>
    </w:p>
    <w:p w14:paraId="096D01D2" w14:textId="77777777" w:rsidR="00AD229C" w:rsidRDefault="00AD229C" w:rsidP="007218CE">
      <w:pPr>
        <w:rPr>
          <w:sz w:val="22"/>
          <w:lang w:val="es-ES_tradnl"/>
        </w:rPr>
      </w:pPr>
      <w:r>
        <w:rPr>
          <w:sz w:val="22"/>
          <w:lang w:val="es-ES_tradnl"/>
        </w:rPr>
        <w:t xml:space="preserve">La Opinión D/RD N° 1/2021 identificó como </w:t>
      </w:r>
      <w:proofErr w:type="gramStart"/>
      <w:r>
        <w:rPr>
          <w:sz w:val="22"/>
          <w:lang w:val="es-ES_tradnl"/>
        </w:rPr>
        <w:t>potencial barrera</w:t>
      </w:r>
      <w:proofErr w:type="gramEnd"/>
      <w:r>
        <w:rPr>
          <w:sz w:val="22"/>
          <w:lang w:val="es-ES_tradnl"/>
        </w:rPr>
        <w:t xml:space="preserve"> a la competencia que una municipalidad establezca un límite de licencias a ser expedidas para prestar el servicio de transporte contratado mediante plataformas digitales. </w:t>
      </w:r>
    </w:p>
    <w:p w14:paraId="7215ABE6" w14:textId="1A76F713" w:rsidR="00FE0713" w:rsidRDefault="00AD229C" w:rsidP="007218CE">
      <w:pPr>
        <w:rPr>
          <w:sz w:val="22"/>
          <w:lang w:val="es-ES_tradnl"/>
        </w:rPr>
      </w:pPr>
      <w:r>
        <w:rPr>
          <w:sz w:val="22"/>
          <w:lang w:val="es-ES_tradnl"/>
        </w:rPr>
        <w:t xml:space="preserve">Si bien se ha reconocido que esta barrera se ha justificado en </w:t>
      </w:r>
      <w:r w:rsidRPr="00AD229C">
        <w:rPr>
          <w:i/>
          <w:iCs/>
          <w:sz w:val="22"/>
          <w:lang w:val="es-ES_tradnl"/>
        </w:rPr>
        <w:t>externalidades negativas asociadas a la polución y congestión de la vía pública, a una menor productividad como consecuencia de un exceso de entrada y oferta en el mercado, y a garantizar un determinado nivel de servicio</w:t>
      </w:r>
      <w:r>
        <w:rPr>
          <w:sz w:val="22"/>
          <w:lang w:val="es-ES_tradnl"/>
        </w:rPr>
        <w:t xml:space="preserve">, […] </w:t>
      </w:r>
      <w:r w:rsidRPr="00AD229C">
        <w:rPr>
          <w:i/>
          <w:iCs/>
          <w:sz w:val="22"/>
          <w:lang w:val="es-ES_tradnl"/>
        </w:rPr>
        <w:t xml:space="preserve">la OCDE ha descartado </w:t>
      </w:r>
      <w:r>
        <w:rPr>
          <w:i/>
          <w:iCs/>
          <w:sz w:val="22"/>
          <w:lang w:val="es-ES_tradnl"/>
        </w:rPr>
        <w:t>que estas justificaciones tradicionales sean eficaces para este objetivo</w:t>
      </w:r>
      <w:r>
        <w:rPr>
          <w:rStyle w:val="Refdenotaalpie"/>
          <w:i/>
          <w:iCs/>
          <w:sz w:val="22"/>
          <w:lang w:val="es-ES_tradnl"/>
        </w:rPr>
        <w:footnoteReference w:id="94"/>
      </w:r>
      <w:r>
        <w:rPr>
          <w:sz w:val="22"/>
          <w:lang w:val="es-ES_tradnl"/>
        </w:rPr>
        <w:t xml:space="preserve">. </w:t>
      </w:r>
    </w:p>
    <w:p w14:paraId="5E5F2BF6" w14:textId="6D65C63D" w:rsidR="00AD229C" w:rsidRPr="001152C4" w:rsidRDefault="00AD229C" w:rsidP="007218CE">
      <w:pPr>
        <w:rPr>
          <w:sz w:val="22"/>
          <w:lang w:val="es-ES_tradnl"/>
        </w:rPr>
      </w:pPr>
      <w:r>
        <w:rPr>
          <w:sz w:val="22"/>
          <w:lang w:val="es-ES_tradnl"/>
        </w:rPr>
        <w:t xml:space="preserve">La Opinión destaca </w:t>
      </w:r>
      <w:proofErr w:type="gramStart"/>
      <w:r>
        <w:rPr>
          <w:sz w:val="22"/>
          <w:lang w:val="es-ES_tradnl"/>
        </w:rPr>
        <w:t>que</w:t>
      </w:r>
      <w:proofErr w:type="gramEnd"/>
      <w:r>
        <w:rPr>
          <w:sz w:val="22"/>
          <w:lang w:val="es-ES_tradnl"/>
        </w:rPr>
        <w:t xml:space="preserve"> con la limitación de cantidad de licencias, estas adquieren un valor económico en un mercado secundario de licencias y que imposibilita la formación de flotas, lo que permitiría optimizar recursos y favorecer la reducción de costos. </w:t>
      </w:r>
    </w:p>
    <w:p w14:paraId="4470951C" w14:textId="77777777" w:rsidR="00FE0713" w:rsidRPr="001152C4" w:rsidRDefault="00FE0713" w:rsidP="00BD08A1">
      <w:pPr>
        <w:pStyle w:val="Ttulo3"/>
      </w:pPr>
      <w:bookmarkStart w:id="76" w:name="_Toc160698880"/>
      <w:r w:rsidRPr="001152C4">
        <w:t>Limitación de capacidad de proveer un bien o servicio</w:t>
      </w:r>
      <w:bookmarkEnd w:id="76"/>
    </w:p>
    <w:p w14:paraId="27A13F3E" w14:textId="0A2C5BB9" w:rsidR="00FE0713" w:rsidRPr="001152C4" w:rsidRDefault="00B467EE" w:rsidP="007218CE">
      <w:pPr>
        <w:rPr>
          <w:sz w:val="22"/>
          <w:lang w:val="es-ES_tradnl"/>
        </w:rPr>
      </w:pPr>
      <w:r>
        <w:rPr>
          <w:sz w:val="22"/>
          <w:lang w:val="es-ES_tradnl"/>
        </w:rPr>
        <w:t xml:space="preserve">La Opinión del Directorio D/04/2022 se expidió sobre una ordenanza en Capiatá que disponía en su momento una limitación a la cantidad de pasajeros que podían trasladar los vehículos afectados a las plataformas digitales. Esta limitación no consideraba la posibilidad de que </w:t>
      </w:r>
      <w:r>
        <w:rPr>
          <w:sz w:val="22"/>
          <w:lang w:val="es-ES_tradnl"/>
        </w:rPr>
        <w:lastRenderedPageBreak/>
        <w:t>algunos vehículos tengan suficiente capacidad para transportar una mayor cantidad de pasajeros, reduciendo así las opciones para los consumidores</w:t>
      </w:r>
      <w:bookmarkStart w:id="77" w:name="_Hlk156811989"/>
      <w:r>
        <w:rPr>
          <w:rStyle w:val="Refdenotaalpie"/>
          <w:sz w:val="22"/>
          <w:lang w:val="es-ES_tradnl"/>
        </w:rPr>
        <w:footnoteReference w:id="95"/>
      </w:r>
      <w:bookmarkEnd w:id="77"/>
      <w:r>
        <w:rPr>
          <w:sz w:val="22"/>
          <w:lang w:val="es-ES_tradnl"/>
        </w:rPr>
        <w:t xml:space="preserve">. </w:t>
      </w:r>
      <w:r w:rsidR="00FE0713" w:rsidRPr="001152C4">
        <w:rPr>
          <w:sz w:val="22"/>
          <w:lang w:val="es-ES_tradnl"/>
        </w:rPr>
        <w:t xml:space="preserve"> </w:t>
      </w:r>
    </w:p>
    <w:p w14:paraId="7003F5E7" w14:textId="5B435AB3" w:rsidR="00FE0713" w:rsidRPr="001152C4" w:rsidRDefault="00FE0713" w:rsidP="00BD08A1">
      <w:pPr>
        <w:pStyle w:val="Ttulo3"/>
      </w:pPr>
      <w:bookmarkStart w:id="78" w:name="_Toc160698881"/>
      <w:r w:rsidRPr="001152C4">
        <w:t>Aumento de costos de entrada o salida</w:t>
      </w:r>
      <w:bookmarkEnd w:id="78"/>
    </w:p>
    <w:p w14:paraId="6A972189" w14:textId="37D3FDBC" w:rsidR="00FE0713" w:rsidRPr="001152C4" w:rsidRDefault="00FE0713" w:rsidP="007218CE">
      <w:pPr>
        <w:rPr>
          <w:sz w:val="22"/>
          <w:lang w:val="es-ES_tradnl"/>
        </w:rPr>
      </w:pPr>
      <w:r w:rsidRPr="001152C4">
        <w:rPr>
          <w:sz w:val="22"/>
          <w:lang w:val="es-ES_tradnl"/>
        </w:rPr>
        <w:t xml:space="preserve">En 2021, la Municipalidad de Ciudad del Este tuvo en despacho un proyecto de ordenanza aprobado por la Junta Municipal que establecía que los vehículos </w:t>
      </w:r>
      <w:r w:rsidR="00ED65C6" w:rsidRPr="001152C4">
        <w:rPr>
          <w:sz w:val="22"/>
          <w:lang w:val="es-ES_tradnl"/>
        </w:rPr>
        <w:t xml:space="preserve">de transporte con conductor (VTC) contratados a través </w:t>
      </w:r>
      <w:r w:rsidRPr="001152C4">
        <w:rPr>
          <w:sz w:val="22"/>
          <w:lang w:val="es-ES_tradnl"/>
        </w:rPr>
        <w:t>de plataformas digitales debían tener una antigüedad de hasta dos (2) años. La Opinión D/RD N° 1/2021 observó que</w:t>
      </w:r>
      <w:r w:rsidR="00ED65C6" w:rsidRPr="001152C4">
        <w:rPr>
          <w:sz w:val="22"/>
          <w:lang w:val="es-ES_tradnl"/>
        </w:rPr>
        <w:t>,</w:t>
      </w:r>
      <w:r w:rsidRPr="001152C4">
        <w:rPr>
          <w:sz w:val="22"/>
          <w:lang w:val="es-ES_tradnl"/>
        </w:rPr>
        <w:t xml:space="preserve"> para los taxis del mismo municipio, la regulación permitía vehículos con hasta diez (10) años de antigüedad en principio, con la posibilidad inclusive de que la Municipalidad considere aptos vehículos que excedan dicha antigüedad, siempre que hayan aprobado la inspección técnica vehicular. </w:t>
      </w:r>
    </w:p>
    <w:p w14:paraId="2DDC2B45" w14:textId="5AB9F833" w:rsidR="00ED65C6" w:rsidRPr="001152C4" w:rsidRDefault="00ED65C6" w:rsidP="007218CE">
      <w:pPr>
        <w:rPr>
          <w:sz w:val="22"/>
          <w:lang w:val="es-ES_tradnl"/>
        </w:rPr>
      </w:pPr>
      <w:r w:rsidRPr="001152C4">
        <w:rPr>
          <w:sz w:val="22"/>
          <w:lang w:val="es-ES_tradnl"/>
        </w:rPr>
        <w:t xml:space="preserve">La CONACOM observó que </w:t>
      </w:r>
      <w:r w:rsidRPr="001152C4">
        <w:rPr>
          <w:i/>
          <w:iCs/>
          <w:sz w:val="22"/>
          <w:lang w:val="es-ES_tradnl"/>
        </w:rPr>
        <w:t xml:space="preserve">la misma coherencia del sistema debería permitir que vehículos que cuenten con la habilitación correspondiente, por haber superado satisfactoriamente la inspección técnica vehicular, puedan -con independencia de sus años de antigüedad- ser utilizados para la prestación de los servicios, tanto de taxis como de </w:t>
      </w:r>
      <w:proofErr w:type="spellStart"/>
      <w:r w:rsidRPr="001152C4">
        <w:rPr>
          <w:i/>
          <w:iCs/>
          <w:sz w:val="22"/>
          <w:lang w:val="es-ES_tradnl"/>
        </w:rPr>
        <w:t>VTCs</w:t>
      </w:r>
      <w:proofErr w:type="spellEnd"/>
      <w:r w:rsidRPr="001152C4">
        <w:rPr>
          <w:rStyle w:val="Refdenotaalpie"/>
          <w:sz w:val="22"/>
          <w:lang w:val="es-ES_tradnl"/>
        </w:rPr>
        <w:footnoteReference w:id="96"/>
      </w:r>
      <w:r w:rsidRPr="001152C4">
        <w:rPr>
          <w:sz w:val="22"/>
          <w:lang w:val="es-ES_tradnl"/>
        </w:rPr>
        <w:t xml:space="preserve">. </w:t>
      </w:r>
    </w:p>
    <w:p w14:paraId="2B73B3BD" w14:textId="38F776F0" w:rsidR="00ED65C6" w:rsidRPr="001152C4" w:rsidRDefault="00ED65C6" w:rsidP="007218CE">
      <w:pPr>
        <w:rPr>
          <w:sz w:val="22"/>
          <w:lang w:val="es-ES_tradnl"/>
        </w:rPr>
      </w:pPr>
      <w:r w:rsidRPr="001152C4">
        <w:rPr>
          <w:sz w:val="22"/>
          <w:lang w:val="es-ES_tradnl"/>
        </w:rPr>
        <w:t>La ordenanza fue vetada por la Intendencia de la Municipalidad de Ciudad del Este</w:t>
      </w:r>
      <w:r w:rsidR="00045240" w:rsidRPr="001152C4">
        <w:rPr>
          <w:rStyle w:val="Refdenotaalpie"/>
          <w:sz w:val="22"/>
          <w:lang w:val="es-ES_tradnl"/>
        </w:rPr>
        <w:footnoteReference w:id="97"/>
      </w:r>
      <w:r w:rsidRPr="001152C4">
        <w:rPr>
          <w:sz w:val="22"/>
          <w:lang w:val="es-ES_tradnl"/>
        </w:rPr>
        <w:t xml:space="preserve">. </w:t>
      </w:r>
    </w:p>
    <w:p w14:paraId="42EE7D1B" w14:textId="77777777" w:rsidR="00FE0713" w:rsidRPr="001152C4" w:rsidRDefault="00FE0713" w:rsidP="00BD08A1">
      <w:pPr>
        <w:pStyle w:val="Ttulo3"/>
      </w:pPr>
      <w:bookmarkStart w:id="79" w:name="_Toc160698882"/>
      <w:r w:rsidRPr="001152C4">
        <w:t>Restricciones geográficas</w:t>
      </w:r>
      <w:bookmarkEnd w:id="79"/>
    </w:p>
    <w:p w14:paraId="61D83915" w14:textId="7C7AEEDF" w:rsidR="00F55F37" w:rsidRDefault="00F55F37" w:rsidP="007218CE">
      <w:pPr>
        <w:rPr>
          <w:sz w:val="22"/>
          <w:lang w:val="es-ES_tradnl"/>
        </w:rPr>
      </w:pPr>
      <w:r>
        <w:rPr>
          <w:sz w:val="22"/>
          <w:lang w:val="es-ES_tradnl"/>
        </w:rPr>
        <w:t xml:space="preserve">En 2021, la CONACOM estudió un proyecto de ordenanza de la Municipalidad de Asunción que contenía una restricción geográfica para la instalación de nuevas estaciones de servicio, disponiendo que estén sometidas a una distancia mínima de 900 metros de otras estaciones ya operativas. </w:t>
      </w:r>
    </w:p>
    <w:p w14:paraId="6047E29B" w14:textId="3F501E88" w:rsidR="00F55F37" w:rsidRDefault="00F55F37" w:rsidP="007218CE">
      <w:pPr>
        <w:rPr>
          <w:sz w:val="22"/>
          <w:lang w:val="es-ES_tradnl"/>
        </w:rPr>
      </w:pPr>
      <w:r>
        <w:rPr>
          <w:sz w:val="22"/>
          <w:lang w:val="es-ES_tradnl"/>
        </w:rPr>
        <w:t>La Opinión observó que la justificación de la norma era volver a imponer un límite, atendiendo que una ordenanza anterior (con mayor distancia -1000 metros) fue suspendida en sus efectos por la Corte Suprema de Justicia por invocación del artículo 107 de la Constitución. La nueva ordenanza no ofrecía mayor justificación, por lo que se consideró que no cumplía con los principios de necesidad, proporcionalidad y no discriminación</w:t>
      </w:r>
      <w:r w:rsidR="00AD229C">
        <w:rPr>
          <w:rStyle w:val="Refdenotaalpie"/>
          <w:sz w:val="22"/>
          <w:lang w:val="es-ES_tradnl"/>
        </w:rPr>
        <w:footnoteReference w:id="98"/>
      </w:r>
      <w:r>
        <w:rPr>
          <w:sz w:val="22"/>
          <w:lang w:val="es-ES_tradnl"/>
        </w:rPr>
        <w:t xml:space="preserve">. </w:t>
      </w:r>
    </w:p>
    <w:p w14:paraId="3DD60E11" w14:textId="18563EFC" w:rsidR="00045240" w:rsidRPr="001152C4" w:rsidRDefault="00F55F37" w:rsidP="007218CE">
      <w:pPr>
        <w:rPr>
          <w:sz w:val="22"/>
          <w:lang w:val="es-ES_tradnl"/>
        </w:rPr>
      </w:pPr>
      <w:r>
        <w:rPr>
          <w:sz w:val="22"/>
          <w:lang w:val="es-ES_tradnl"/>
        </w:rPr>
        <w:lastRenderedPageBreak/>
        <w:t>La ordenanza fue vetada por la Municipalidad de Asunción</w:t>
      </w:r>
      <w:r>
        <w:rPr>
          <w:rStyle w:val="Refdenotaalpie"/>
          <w:sz w:val="22"/>
          <w:lang w:val="es-ES_tradnl"/>
        </w:rPr>
        <w:footnoteReference w:id="99"/>
      </w:r>
      <w:r>
        <w:rPr>
          <w:sz w:val="22"/>
          <w:lang w:val="es-ES_tradnl"/>
        </w:rPr>
        <w:t xml:space="preserve">. </w:t>
      </w:r>
    </w:p>
    <w:p w14:paraId="0702846C" w14:textId="77777777" w:rsidR="00FE0713" w:rsidRPr="001152C4" w:rsidRDefault="00FE0713" w:rsidP="00BD08A1">
      <w:pPr>
        <w:pStyle w:val="Ttulo2"/>
      </w:pPr>
      <w:bookmarkStart w:id="80" w:name="_Toc160698883"/>
      <w:r w:rsidRPr="001152C4">
        <w:t>Normas que limitan la capacidad de competir</w:t>
      </w:r>
      <w:bookmarkEnd w:id="80"/>
    </w:p>
    <w:p w14:paraId="17FBA625" w14:textId="77777777" w:rsidR="00FE0713" w:rsidRDefault="00FE0713" w:rsidP="00BD08A1">
      <w:pPr>
        <w:pStyle w:val="Ttulo3"/>
      </w:pPr>
      <w:bookmarkStart w:id="81" w:name="_Toc160698884"/>
      <w:r w:rsidRPr="001152C4">
        <w:t>Normas sobre precios</w:t>
      </w:r>
      <w:bookmarkEnd w:id="81"/>
    </w:p>
    <w:p w14:paraId="2126B2B6" w14:textId="5BA44866" w:rsidR="00FE0713" w:rsidRDefault="00B200E4" w:rsidP="00B200E4">
      <w:pPr>
        <w:rPr>
          <w:sz w:val="22"/>
          <w:lang w:val="es-ES_tradnl"/>
        </w:rPr>
      </w:pPr>
      <w:r w:rsidRPr="00B200E4">
        <w:rPr>
          <w:sz w:val="22"/>
          <w:lang w:val="es-ES_tradnl"/>
        </w:rPr>
        <w:t>La fijación de precios mínimos, máximos, fijos o de referencia</w:t>
      </w:r>
      <w:r>
        <w:rPr>
          <w:sz w:val="22"/>
          <w:lang w:val="es-ES_tradnl"/>
        </w:rPr>
        <w:t xml:space="preserve"> elimina uno de los factores que afectan la capacidad de competir, como se ha mencionado en la Opinión D/RD N° 1/2021, y solo debe ser considerada si concurren los principios de necesidad, proporcionalidad y no discriminación. </w:t>
      </w:r>
    </w:p>
    <w:p w14:paraId="15BD8EB2" w14:textId="137A85FC" w:rsidR="00B200E4" w:rsidRPr="001152C4" w:rsidRDefault="00B200E4" w:rsidP="00B200E4">
      <w:pPr>
        <w:rPr>
          <w:sz w:val="22"/>
          <w:lang w:val="es-ES_tradnl"/>
        </w:rPr>
      </w:pPr>
      <w:r>
        <w:rPr>
          <w:sz w:val="22"/>
          <w:lang w:val="es-ES_tradnl"/>
        </w:rPr>
        <w:t xml:space="preserve">En el caso de plataformas digitales de transporte, </w:t>
      </w:r>
      <w:r w:rsidR="003C0E7F">
        <w:rPr>
          <w:sz w:val="22"/>
          <w:lang w:val="es-ES_tradnl"/>
        </w:rPr>
        <w:t xml:space="preserve">se observó que la fijación de precios por las municipalidades impide que estos se ajusten a la oferta y demanda en el mercado, sin considerar que las aplicaciones cuentan con algoritmos que reflejan una tarifa dinámica en tiempo real y que permiten al usuario conocer de antemano el precio del viaje deseado, permitiéndole comparar precios entre competidores. </w:t>
      </w:r>
    </w:p>
    <w:p w14:paraId="25D63036" w14:textId="77777777" w:rsidR="00FE0713" w:rsidRPr="001152C4" w:rsidRDefault="00FE0713" w:rsidP="00BD08A1">
      <w:pPr>
        <w:pStyle w:val="Ttulo3"/>
      </w:pPr>
      <w:bookmarkStart w:id="82" w:name="_Toc160698885"/>
      <w:r w:rsidRPr="001152C4">
        <w:t>Normas de calidad</w:t>
      </w:r>
      <w:bookmarkEnd w:id="82"/>
    </w:p>
    <w:p w14:paraId="4C921C71" w14:textId="757E597E" w:rsidR="003C0E7F" w:rsidRDefault="00606BC3" w:rsidP="007218CE">
      <w:pPr>
        <w:rPr>
          <w:sz w:val="22"/>
          <w:lang w:val="es-ES_tradnl"/>
        </w:rPr>
      </w:pPr>
      <w:r>
        <w:rPr>
          <w:sz w:val="22"/>
          <w:lang w:val="es-ES_tradnl"/>
        </w:rPr>
        <w:t>Al estudiar el proyecto de ordenanza referente a los servicios de transporte contratados mediante aplicaciones digitales (VTC) en 2021, la Opinión observó que un apartado mencionaba que [</w:t>
      </w:r>
      <w:r>
        <w:rPr>
          <w:i/>
          <w:iCs/>
          <w:sz w:val="22"/>
          <w:lang w:val="es-ES_tradnl"/>
        </w:rPr>
        <w:t>l</w:t>
      </w:r>
      <w:r>
        <w:rPr>
          <w:sz w:val="22"/>
          <w:lang w:val="es-ES_tradnl"/>
        </w:rPr>
        <w:t>]</w:t>
      </w:r>
      <w:r>
        <w:rPr>
          <w:i/>
          <w:iCs/>
          <w:sz w:val="22"/>
          <w:lang w:val="es-ES_tradnl"/>
        </w:rPr>
        <w:t>os conductores deberán usar un uniforme identificatorio</w:t>
      </w:r>
      <w:r>
        <w:rPr>
          <w:rStyle w:val="Refdenotaalpie"/>
          <w:i/>
          <w:iCs/>
          <w:sz w:val="22"/>
          <w:lang w:val="es-ES_tradnl"/>
        </w:rPr>
        <w:footnoteReference w:id="100"/>
      </w:r>
      <w:r>
        <w:rPr>
          <w:sz w:val="22"/>
          <w:lang w:val="es-ES_tradnl"/>
        </w:rPr>
        <w:t xml:space="preserve">. </w:t>
      </w:r>
    </w:p>
    <w:p w14:paraId="7FD60612" w14:textId="7FDB57F1" w:rsidR="00606BC3" w:rsidRPr="00606BC3" w:rsidRDefault="00606BC3" w:rsidP="007218CE">
      <w:pPr>
        <w:rPr>
          <w:sz w:val="22"/>
          <w:lang w:val="es-ES_tradnl"/>
        </w:rPr>
      </w:pPr>
      <w:r>
        <w:rPr>
          <w:sz w:val="22"/>
          <w:lang w:val="es-ES_tradnl"/>
        </w:rPr>
        <w:t xml:space="preserve">Esta disposición no solo eleva el costo de acceso al mercado, sino que condiciona la prestación del servicio al cumplimiento de unas exigencias cuya justificación podría no estar debidamente justificada, especialmente si también se exige que el mismo vehículo cuente con una identificación externa, como mencionaba el proyecto de ordenanza bajo estudio. </w:t>
      </w:r>
    </w:p>
    <w:p w14:paraId="4CAF9F4A" w14:textId="3C7A6B8E" w:rsidR="00FE0713" w:rsidRPr="001152C4" w:rsidRDefault="006F5589" w:rsidP="00BD08A1">
      <w:pPr>
        <w:pStyle w:val="Ttulo3"/>
      </w:pPr>
      <w:bookmarkStart w:id="83" w:name="_Toc160698886"/>
      <w:r w:rsidRPr="001152C4">
        <w:t>Ventajas o preferencias</w:t>
      </w:r>
      <w:bookmarkEnd w:id="83"/>
    </w:p>
    <w:p w14:paraId="078CD876" w14:textId="08DD8A78" w:rsidR="00EC1391" w:rsidRDefault="00EC1391" w:rsidP="006F5589">
      <w:pPr>
        <w:rPr>
          <w:sz w:val="22"/>
          <w:lang w:val="es-ES_tradnl"/>
        </w:rPr>
      </w:pPr>
      <w:r>
        <w:rPr>
          <w:sz w:val="22"/>
          <w:lang w:val="es-ES_tradnl"/>
        </w:rPr>
        <w:t xml:space="preserve">La Opinión D/04/2022 observó que una ordenanza de Capiatá disponía que </w:t>
      </w:r>
      <w:r>
        <w:rPr>
          <w:i/>
          <w:iCs/>
          <w:sz w:val="22"/>
          <w:lang w:val="es-ES_tradnl"/>
        </w:rPr>
        <w:t>no se puede alzar pasajeros, estacionar ni detenerse en paradas de taxi o colectivos ni dentro del área correspondiente a paradas de taxi habilitadas</w:t>
      </w:r>
      <w:r>
        <w:rPr>
          <w:rStyle w:val="Refdenotaalpie"/>
          <w:sz w:val="22"/>
          <w:lang w:val="es-ES_tradnl"/>
        </w:rPr>
        <w:footnoteReference w:id="101"/>
      </w:r>
      <w:r>
        <w:rPr>
          <w:sz w:val="22"/>
          <w:lang w:val="es-ES_tradnl"/>
        </w:rPr>
        <w:t xml:space="preserve">. </w:t>
      </w:r>
    </w:p>
    <w:p w14:paraId="1425CF3C" w14:textId="0260BB23" w:rsidR="005635A6" w:rsidRPr="00EC1391" w:rsidRDefault="00EC1391" w:rsidP="006F5589">
      <w:pPr>
        <w:rPr>
          <w:sz w:val="22"/>
          <w:lang w:val="es-ES_tradnl"/>
        </w:rPr>
      </w:pPr>
      <w:r>
        <w:rPr>
          <w:sz w:val="22"/>
          <w:lang w:val="es-ES_tradnl"/>
        </w:rPr>
        <w:t xml:space="preserve">Además de consistir en una restricción geográfica para la prestación de servicios, la normativa </w:t>
      </w:r>
      <w:r>
        <w:rPr>
          <w:sz w:val="22"/>
          <w:lang w:val="es-ES_tradnl"/>
        </w:rPr>
        <w:lastRenderedPageBreak/>
        <w:t>otorga una preferencia a ciertos operadores del mercado en zonas que podrían ser de alta demanda del servicio</w:t>
      </w:r>
      <w:r>
        <w:rPr>
          <w:rStyle w:val="Refdenotaalpie"/>
          <w:sz w:val="22"/>
          <w:lang w:val="es-ES_tradnl"/>
        </w:rPr>
        <w:footnoteReference w:id="102"/>
      </w:r>
      <w:r>
        <w:rPr>
          <w:sz w:val="22"/>
          <w:lang w:val="es-ES_tradnl"/>
        </w:rPr>
        <w:t xml:space="preserve">. </w:t>
      </w:r>
    </w:p>
    <w:p w14:paraId="7F95AAED" w14:textId="09689FDA" w:rsidR="004454E2" w:rsidRPr="001152C4" w:rsidRDefault="006E007B" w:rsidP="00BD08A1">
      <w:pPr>
        <w:pStyle w:val="Ttulo3"/>
      </w:pPr>
      <w:bookmarkStart w:id="84" w:name="_Toc160698887"/>
      <w:r w:rsidRPr="001152C4">
        <w:t>Reducción de la capacidad de innovar</w:t>
      </w:r>
      <w:bookmarkEnd w:id="84"/>
    </w:p>
    <w:p w14:paraId="106B7BC2" w14:textId="357F1ABD" w:rsidR="006E007B" w:rsidRPr="001152C4" w:rsidRDefault="006E007B" w:rsidP="006E007B">
      <w:pPr>
        <w:rPr>
          <w:sz w:val="22"/>
          <w:lang w:val="es-ES_tradnl"/>
        </w:rPr>
      </w:pPr>
      <w:r w:rsidRPr="001152C4">
        <w:rPr>
          <w:sz w:val="22"/>
          <w:lang w:val="es-ES_tradnl"/>
        </w:rPr>
        <w:t xml:space="preserve">Una ordenanza de la municipalidad de Capiatá exigía a plataformas digitales relacionadas al servicio de transporte mediante vehículos privados que cuenten con una oficina en el distrito. </w:t>
      </w:r>
    </w:p>
    <w:p w14:paraId="0DC92EB6" w14:textId="292C75A4" w:rsidR="006E007B" w:rsidRPr="001152C4" w:rsidRDefault="006E007B" w:rsidP="006E007B">
      <w:pPr>
        <w:rPr>
          <w:sz w:val="22"/>
          <w:lang w:val="es-ES_tradnl"/>
        </w:rPr>
      </w:pPr>
      <w:r w:rsidRPr="001152C4">
        <w:rPr>
          <w:sz w:val="22"/>
          <w:lang w:val="es-ES_tradnl"/>
        </w:rPr>
        <w:t>La Opinión de la CONACOM se enfocó en dos aspectos. Primeramente, se cuestionó que fuese necesaria una sede física debido a que las plataformas digitales han estado prescindiendo de ellas innovando en medios virtuales de atención al cliente, además de que</w:t>
      </w:r>
      <w:r w:rsidR="0070758D" w:rsidRPr="001152C4">
        <w:rPr>
          <w:sz w:val="22"/>
          <w:lang w:val="es-ES_tradnl"/>
        </w:rPr>
        <w:t>,</w:t>
      </w:r>
      <w:r w:rsidRPr="001152C4">
        <w:rPr>
          <w:sz w:val="22"/>
          <w:lang w:val="es-ES_tradnl"/>
        </w:rPr>
        <w:t xml:space="preserve"> para la cobertura de daños o perjuicios, existe la alternativa de exigir seguros. Asimismo, </w:t>
      </w:r>
      <w:r w:rsidR="001152CE">
        <w:rPr>
          <w:sz w:val="22"/>
          <w:lang w:val="es-ES_tradnl"/>
        </w:rPr>
        <w:t xml:space="preserve">cuestionó </w:t>
      </w:r>
      <w:r w:rsidRPr="001152C4">
        <w:rPr>
          <w:sz w:val="22"/>
          <w:lang w:val="es-ES_tradnl"/>
        </w:rPr>
        <w:t xml:space="preserve">que, en caso de que la sede física fuese necesaria, la misma </w:t>
      </w:r>
      <w:r w:rsidR="001152CE">
        <w:rPr>
          <w:sz w:val="22"/>
          <w:lang w:val="es-ES_tradnl"/>
        </w:rPr>
        <w:t xml:space="preserve">deba estar </w:t>
      </w:r>
      <w:r w:rsidRPr="001152C4">
        <w:rPr>
          <w:sz w:val="22"/>
          <w:lang w:val="es-ES_tradnl"/>
        </w:rPr>
        <w:t>ubicada en la ciudad de Capiatá, pudiendo prestarse servicios de forma remota desde otras localidades</w:t>
      </w:r>
      <w:r w:rsidR="0070758D" w:rsidRPr="001152C4">
        <w:rPr>
          <w:sz w:val="22"/>
          <w:lang w:val="es-ES_tradnl"/>
        </w:rPr>
        <w:t xml:space="preserve"> del país</w:t>
      </w:r>
      <w:r w:rsidR="00B626B1" w:rsidRPr="001152C4">
        <w:rPr>
          <w:rStyle w:val="Refdenotaalpie"/>
          <w:sz w:val="22"/>
          <w:lang w:val="es-ES_tradnl"/>
        </w:rPr>
        <w:footnoteReference w:id="103"/>
      </w:r>
      <w:r w:rsidRPr="001152C4">
        <w:rPr>
          <w:sz w:val="22"/>
          <w:lang w:val="es-ES_tradnl"/>
        </w:rPr>
        <w:t xml:space="preserve">. </w:t>
      </w:r>
    </w:p>
    <w:p w14:paraId="69C484EF" w14:textId="77777777" w:rsidR="001E5A63" w:rsidRPr="001152C4" w:rsidRDefault="001E5A63" w:rsidP="00BD08A1">
      <w:pPr>
        <w:pStyle w:val="Ttulo3"/>
      </w:pPr>
      <w:bookmarkStart w:id="85" w:name="_Toc160698888"/>
      <w:r w:rsidRPr="001152C4">
        <w:t>Limitación de libertad de promoción</w:t>
      </w:r>
      <w:bookmarkEnd w:id="85"/>
    </w:p>
    <w:p w14:paraId="0F68DC03" w14:textId="04EBA245" w:rsidR="001E5A63" w:rsidRPr="001152C4" w:rsidRDefault="001E5A63" w:rsidP="006E007B">
      <w:pPr>
        <w:rPr>
          <w:sz w:val="22"/>
          <w:lang w:val="es-ES_tradnl"/>
        </w:rPr>
      </w:pPr>
      <w:r w:rsidRPr="001152C4">
        <w:rPr>
          <w:sz w:val="22"/>
          <w:lang w:val="es-ES_tradnl"/>
        </w:rPr>
        <w:t xml:space="preserve">En Estados Unidos, existen restricciones de la publicidad para oculistas. La OCDE observa que un argumento alegado para justificar la norma es que la restricción evita que se realicen gastos ineficientes en publicidad para permitir que los costos se mantengan bajos y que la publicidad afectaría la dignidad de la profesión. Sin embargo, un estudio que comparó ciudades con y sin estas restricciones observó que, sin existir una reducción en la calidad en promedio del servicio, aquellas ciudades sin restricciones tenían precios significativamente más bajos para los consumidores. </w:t>
      </w:r>
    </w:p>
    <w:p w14:paraId="48D8A2A2" w14:textId="6116A130" w:rsidR="001E5A63" w:rsidRPr="001152C4" w:rsidRDefault="001E5A63" w:rsidP="006E007B">
      <w:pPr>
        <w:rPr>
          <w:sz w:val="22"/>
          <w:lang w:val="es-ES_tradnl"/>
        </w:rPr>
      </w:pPr>
      <w:r w:rsidRPr="001152C4">
        <w:rPr>
          <w:sz w:val="22"/>
          <w:lang w:val="es-ES_tradnl"/>
        </w:rPr>
        <w:t xml:space="preserve">La OCDE concluye que </w:t>
      </w:r>
      <w:r w:rsidRPr="001152C4">
        <w:rPr>
          <w:i/>
          <w:iCs/>
          <w:sz w:val="22"/>
          <w:lang w:val="es-ES_tradnl"/>
        </w:rPr>
        <w:t>el resultado es consistente con la hipótesis de que el principal efecto de las restricciones en publicidad es impedir la competencia y mantener los altos ingresos para la profesión</w:t>
      </w:r>
      <w:r w:rsidRPr="001152C4">
        <w:rPr>
          <w:rStyle w:val="Refdenotaalpie"/>
          <w:i/>
          <w:iCs/>
          <w:sz w:val="22"/>
          <w:lang w:val="es-ES_tradnl"/>
        </w:rPr>
        <w:footnoteReference w:id="104"/>
      </w:r>
      <w:r w:rsidRPr="001152C4">
        <w:rPr>
          <w:sz w:val="22"/>
          <w:lang w:val="es-ES_tradnl"/>
        </w:rPr>
        <w:t xml:space="preserve">. </w:t>
      </w:r>
    </w:p>
    <w:p w14:paraId="404C9BA2" w14:textId="77777777" w:rsidR="00392B22" w:rsidRPr="001152C4" w:rsidRDefault="00392B22" w:rsidP="00BD08A1">
      <w:pPr>
        <w:pStyle w:val="Ttulo2"/>
      </w:pPr>
      <w:bookmarkStart w:id="86" w:name="_Toc160698889"/>
      <w:r w:rsidRPr="001152C4">
        <w:t>Normas que reducen el incentivo para competir</w:t>
      </w:r>
      <w:bookmarkEnd w:id="86"/>
    </w:p>
    <w:p w14:paraId="2C3D50DA" w14:textId="77777777" w:rsidR="00392B22" w:rsidRPr="001152C4" w:rsidRDefault="00392B22" w:rsidP="00BD08A1">
      <w:pPr>
        <w:pStyle w:val="Ttulo3"/>
      </w:pPr>
      <w:bookmarkStart w:id="87" w:name="_Toc160698890"/>
      <w:r w:rsidRPr="001152C4">
        <w:t>No aplicación de la Ley de Defensa de la Competencia</w:t>
      </w:r>
      <w:bookmarkEnd w:id="87"/>
    </w:p>
    <w:p w14:paraId="0CAF689A" w14:textId="0AD1F9CA" w:rsidR="00392B22" w:rsidRPr="001152C4" w:rsidRDefault="00392B22" w:rsidP="006E007B">
      <w:pPr>
        <w:rPr>
          <w:sz w:val="22"/>
          <w:lang w:val="es-ES_tradnl"/>
        </w:rPr>
      </w:pPr>
      <w:r w:rsidRPr="001152C4">
        <w:rPr>
          <w:sz w:val="22"/>
          <w:lang w:val="es-ES_tradnl"/>
        </w:rPr>
        <w:t xml:space="preserve">En 2021, la CONACOM advirtió que el artículo 40 de la Ley N° 2051/2003 </w:t>
      </w:r>
      <w:r w:rsidRPr="001152C4">
        <w:rPr>
          <w:i/>
          <w:iCs/>
          <w:sz w:val="22"/>
          <w:lang w:val="es-ES_tradnl"/>
        </w:rPr>
        <w:t xml:space="preserve">De Contrataciones </w:t>
      </w:r>
      <w:r w:rsidRPr="001152C4">
        <w:rPr>
          <w:i/>
          <w:iCs/>
          <w:sz w:val="22"/>
          <w:lang w:val="es-ES_tradnl"/>
        </w:rPr>
        <w:lastRenderedPageBreak/>
        <w:t>Públicas</w:t>
      </w:r>
      <w:r w:rsidRPr="001152C4">
        <w:rPr>
          <w:sz w:val="22"/>
          <w:lang w:val="es-ES_tradnl"/>
        </w:rPr>
        <w:t xml:space="preserve">, tenía un impacto anticompetitivo. </w:t>
      </w:r>
    </w:p>
    <w:p w14:paraId="3468731B" w14:textId="7B0E8FCD" w:rsidR="00392B22" w:rsidRPr="001152C4" w:rsidRDefault="00392B22" w:rsidP="006E007B">
      <w:pPr>
        <w:rPr>
          <w:sz w:val="22"/>
          <w:lang w:val="es-ES_tradnl"/>
        </w:rPr>
      </w:pPr>
      <w:r w:rsidRPr="001152C4">
        <w:rPr>
          <w:sz w:val="22"/>
          <w:lang w:val="es-ES_tradnl"/>
        </w:rPr>
        <w:t>La normativa</w:t>
      </w:r>
      <w:r w:rsidR="00185BCF" w:rsidRPr="001152C4">
        <w:rPr>
          <w:sz w:val="22"/>
          <w:lang w:val="es-ES_tradnl"/>
        </w:rPr>
        <w:t xml:space="preserve"> vigente en ese entonces</w:t>
      </w:r>
      <w:r w:rsidRPr="001152C4">
        <w:rPr>
          <w:sz w:val="22"/>
          <w:lang w:val="es-ES_tradnl"/>
        </w:rPr>
        <w:t xml:space="preserve"> dispon</w:t>
      </w:r>
      <w:r w:rsidR="00185BCF" w:rsidRPr="001152C4">
        <w:rPr>
          <w:sz w:val="22"/>
          <w:lang w:val="es-ES_tradnl"/>
        </w:rPr>
        <w:t>ía</w:t>
      </w:r>
      <w:r w:rsidRPr="001152C4">
        <w:rPr>
          <w:sz w:val="22"/>
          <w:lang w:val="es-ES_tradnl"/>
        </w:rPr>
        <w:t xml:space="preserve"> que aquellas empresas que están vinculadas </w:t>
      </w:r>
      <w:r w:rsidR="00185BCF" w:rsidRPr="001152C4">
        <w:rPr>
          <w:sz w:val="22"/>
          <w:lang w:val="es-ES_tradnl"/>
        </w:rPr>
        <w:t xml:space="preserve">entre sí </w:t>
      </w:r>
      <w:r w:rsidR="00185BCF" w:rsidRPr="001152C4">
        <w:rPr>
          <w:i/>
          <w:iCs/>
          <w:sz w:val="22"/>
          <w:lang w:val="es-ES_tradnl"/>
        </w:rPr>
        <w:t>por algún socio o asociado común</w:t>
      </w:r>
      <w:r w:rsidR="00185BCF" w:rsidRPr="001152C4">
        <w:rPr>
          <w:rStyle w:val="Refdenotaalpie"/>
          <w:i/>
          <w:iCs/>
          <w:sz w:val="22"/>
          <w:lang w:val="es-ES_tradnl"/>
        </w:rPr>
        <w:footnoteReference w:id="105"/>
      </w:r>
      <w:r w:rsidR="00185BCF" w:rsidRPr="001152C4">
        <w:rPr>
          <w:sz w:val="22"/>
          <w:lang w:val="es-ES_tradnl"/>
        </w:rPr>
        <w:t xml:space="preserve"> no podían presentar más de una oferta sobre una misma partida en un procedimiento de contratación pública. </w:t>
      </w:r>
    </w:p>
    <w:p w14:paraId="5FA6D6BB" w14:textId="648E188A" w:rsidR="00185BCF" w:rsidRPr="001152C4" w:rsidRDefault="00185BCF" w:rsidP="006E007B">
      <w:pPr>
        <w:rPr>
          <w:sz w:val="22"/>
          <w:lang w:val="es-ES_tradnl"/>
        </w:rPr>
      </w:pPr>
      <w:r w:rsidRPr="001152C4">
        <w:rPr>
          <w:sz w:val="22"/>
          <w:lang w:val="es-ES_tradnl"/>
        </w:rPr>
        <w:t xml:space="preserve">La Opinión del Directorio observó que, cuando se encontrasen casos de coordinación entre empresas, en lugar de realizar un análisis sobre el control de las empresas para determinar si forman o no parte del mismo grupo económico, bastaba la verificación de si cuentan con accionistas en común, sin importar cuál es la incidencia de su participación accionaria. </w:t>
      </w:r>
    </w:p>
    <w:p w14:paraId="0E3C0238" w14:textId="29A9DBD6" w:rsidR="00861EE5" w:rsidRPr="001152C4" w:rsidRDefault="00185BCF" w:rsidP="006E007B">
      <w:pPr>
        <w:rPr>
          <w:sz w:val="22"/>
          <w:lang w:val="es-ES_tradnl"/>
        </w:rPr>
      </w:pPr>
      <w:r w:rsidRPr="001152C4">
        <w:rPr>
          <w:sz w:val="22"/>
          <w:lang w:val="es-ES_tradnl"/>
        </w:rPr>
        <w:t xml:space="preserve">Es decir, dos empresas que sean controladas por distintos grupos económicos pero que tuviesen un </w:t>
      </w:r>
      <w:r w:rsidR="00530748" w:rsidRPr="001152C4">
        <w:rPr>
          <w:sz w:val="22"/>
          <w:lang w:val="es-ES_tradnl"/>
        </w:rPr>
        <w:t xml:space="preserve">solo </w:t>
      </w:r>
      <w:r w:rsidRPr="001152C4">
        <w:rPr>
          <w:sz w:val="22"/>
          <w:lang w:val="es-ES_tradnl"/>
        </w:rPr>
        <w:t xml:space="preserve">accionista en común, </w:t>
      </w:r>
      <w:r w:rsidR="00530748" w:rsidRPr="001152C4">
        <w:rPr>
          <w:sz w:val="22"/>
          <w:lang w:val="es-ES_tradnl"/>
        </w:rPr>
        <w:t>aun</w:t>
      </w:r>
      <w:r w:rsidRPr="001152C4">
        <w:rPr>
          <w:sz w:val="22"/>
          <w:lang w:val="es-ES_tradnl"/>
        </w:rPr>
        <w:t xml:space="preserve">que cuente con </w:t>
      </w:r>
      <w:r w:rsidR="00530748" w:rsidRPr="001152C4">
        <w:rPr>
          <w:sz w:val="22"/>
          <w:lang w:val="es-ES_tradnl"/>
        </w:rPr>
        <w:t xml:space="preserve">solo </w:t>
      </w:r>
      <w:r w:rsidRPr="001152C4">
        <w:rPr>
          <w:sz w:val="22"/>
          <w:lang w:val="es-ES_tradnl"/>
        </w:rPr>
        <w:t xml:space="preserve">1% de participación en ambas, </w:t>
      </w:r>
      <w:r w:rsidR="003C27E6">
        <w:rPr>
          <w:sz w:val="22"/>
          <w:lang w:val="es-ES_tradnl"/>
        </w:rPr>
        <w:t xml:space="preserve">por ejemplo, </w:t>
      </w:r>
      <w:r w:rsidRPr="001152C4">
        <w:rPr>
          <w:sz w:val="22"/>
          <w:lang w:val="es-ES_tradnl"/>
        </w:rPr>
        <w:t xml:space="preserve">no </w:t>
      </w:r>
      <w:r w:rsidR="001152CE">
        <w:rPr>
          <w:sz w:val="22"/>
          <w:lang w:val="es-ES_tradnl"/>
        </w:rPr>
        <w:t xml:space="preserve">podían </w:t>
      </w:r>
      <w:r w:rsidRPr="001152C4">
        <w:rPr>
          <w:sz w:val="22"/>
          <w:lang w:val="es-ES_tradnl"/>
        </w:rPr>
        <w:t>ofertar por la misma partida</w:t>
      </w:r>
      <w:r w:rsidR="00530748" w:rsidRPr="001152C4">
        <w:rPr>
          <w:sz w:val="22"/>
          <w:lang w:val="es-ES_tradnl"/>
        </w:rPr>
        <w:t>. Esto obliga</w:t>
      </w:r>
      <w:r w:rsidR="00DB6501" w:rsidRPr="001152C4">
        <w:rPr>
          <w:sz w:val="22"/>
          <w:lang w:val="es-ES_tradnl"/>
        </w:rPr>
        <w:t>ría</w:t>
      </w:r>
      <w:r w:rsidR="00530748" w:rsidRPr="001152C4">
        <w:rPr>
          <w:sz w:val="22"/>
          <w:lang w:val="es-ES_tradnl"/>
        </w:rPr>
        <w:t xml:space="preserve"> a que </w:t>
      </w:r>
      <w:r w:rsidRPr="001152C4">
        <w:rPr>
          <w:sz w:val="22"/>
          <w:lang w:val="es-ES_tradnl"/>
        </w:rPr>
        <w:t>las empresas coordinen su participación en las licitaciones para evitar las sanciones</w:t>
      </w:r>
      <w:r w:rsidR="005B3A1F" w:rsidRPr="001152C4">
        <w:rPr>
          <w:sz w:val="22"/>
          <w:lang w:val="es-ES_tradnl"/>
        </w:rPr>
        <w:t xml:space="preserve"> de la Ley de Contrataciones Públicas</w:t>
      </w:r>
      <w:r w:rsidR="00DB6501" w:rsidRPr="001152C4">
        <w:rPr>
          <w:sz w:val="22"/>
          <w:lang w:val="es-ES_tradnl"/>
        </w:rPr>
        <w:t xml:space="preserve">. </w:t>
      </w:r>
    </w:p>
    <w:p w14:paraId="488CB5BA" w14:textId="02B2538D" w:rsidR="00185BCF" w:rsidRPr="001152C4" w:rsidRDefault="00DB6501" w:rsidP="006E007B">
      <w:pPr>
        <w:rPr>
          <w:sz w:val="22"/>
          <w:lang w:val="es-ES_tradnl"/>
        </w:rPr>
      </w:pPr>
      <w:r w:rsidRPr="001152C4">
        <w:rPr>
          <w:sz w:val="22"/>
          <w:lang w:val="es-ES_tradnl"/>
        </w:rPr>
        <w:t xml:space="preserve">Una vez presentadas las ofertas, las convocantes y la Dirección Nacional de Contrataciones Públicas </w:t>
      </w:r>
      <w:r w:rsidR="00530748" w:rsidRPr="001152C4">
        <w:rPr>
          <w:sz w:val="22"/>
          <w:lang w:val="es-ES_tradnl"/>
        </w:rPr>
        <w:t>solo se limitaría</w:t>
      </w:r>
      <w:r w:rsidRPr="001152C4">
        <w:rPr>
          <w:sz w:val="22"/>
          <w:lang w:val="es-ES_tradnl"/>
        </w:rPr>
        <w:t>n</w:t>
      </w:r>
      <w:r w:rsidR="00530748" w:rsidRPr="001152C4">
        <w:rPr>
          <w:sz w:val="22"/>
          <w:lang w:val="es-ES_tradnl"/>
        </w:rPr>
        <w:t xml:space="preserve"> a verificar la integración accionaria sin considerar el aspecto del control</w:t>
      </w:r>
      <w:r w:rsidR="006D6CC3" w:rsidRPr="001152C4">
        <w:rPr>
          <w:sz w:val="22"/>
          <w:lang w:val="es-ES_tradnl"/>
        </w:rPr>
        <w:t xml:space="preserve"> entre los oferentes. Además, quedan así sin control ni sanción las conductas </w:t>
      </w:r>
      <w:r w:rsidR="00861EE5" w:rsidRPr="001152C4">
        <w:rPr>
          <w:sz w:val="22"/>
          <w:lang w:val="es-ES_tradnl"/>
        </w:rPr>
        <w:t xml:space="preserve">de coordinación </w:t>
      </w:r>
      <w:r w:rsidR="006D6CC3" w:rsidRPr="001152C4">
        <w:rPr>
          <w:sz w:val="22"/>
          <w:lang w:val="es-ES_tradnl"/>
        </w:rPr>
        <w:t>previas</w:t>
      </w:r>
      <w:r w:rsidR="00861EE5" w:rsidRPr="001152C4">
        <w:rPr>
          <w:sz w:val="22"/>
          <w:lang w:val="es-ES_tradnl"/>
        </w:rPr>
        <w:t xml:space="preserve"> </w:t>
      </w:r>
      <w:r w:rsidR="006D6CC3" w:rsidRPr="001152C4">
        <w:rPr>
          <w:sz w:val="22"/>
          <w:lang w:val="es-ES_tradnl"/>
        </w:rPr>
        <w:t xml:space="preserve">a la presentación de las ofertas, pudiendo encubrirse de dicha forma a empresas que forman carteles. </w:t>
      </w:r>
    </w:p>
    <w:p w14:paraId="407FFBFE" w14:textId="3A504B10" w:rsidR="002E10AD" w:rsidRPr="001152C4" w:rsidRDefault="002E10AD" w:rsidP="006E007B">
      <w:pPr>
        <w:rPr>
          <w:sz w:val="22"/>
          <w:lang w:val="es-ES_tradnl"/>
        </w:rPr>
      </w:pPr>
      <w:r w:rsidRPr="001152C4">
        <w:rPr>
          <w:sz w:val="22"/>
          <w:lang w:val="es-ES_tradnl"/>
        </w:rPr>
        <w:t xml:space="preserve">Cabe recordar que por aplicación </w:t>
      </w:r>
      <w:r w:rsidR="00530748" w:rsidRPr="001152C4">
        <w:rPr>
          <w:sz w:val="22"/>
          <w:lang w:val="es-ES_tradnl"/>
        </w:rPr>
        <w:t>del numeral 4 del artículo 2 de la LDC, el ejercicio de un derecho, facultad o prerrogativa excepcional otorgada o reconocida por Ley, no se considerará práctica anticompetitiva ni abuso de posición dominante, por lo que esta normativa excluía la aplicación de la LDC a estos casos</w:t>
      </w:r>
      <w:r w:rsidR="00CD4E7E" w:rsidRPr="001152C4">
        <w:rPr>
          <w:rStyle w:val="Refdenotaalpie"/>
          <w:sz w:val="22"/>
          <w:lang w:val="es-ES_tradnl"/>
        </w:rPr>
        <w:footnoteReference w:id="106"/>
      </w:r>
      <w:r w:rsidR="00530748" w:rsidRPr="001152C4">
        <w:rPr>
          <w:sz w:val="22"/>
          <w:lang w:val="es-ES_tradnl"/>
        </w:rPr>
        <w:t xml:space="preserve">. </w:t>
      </w:r>
    </w:p>
    <w:p w14:paraId="19CF2BEB" w14:textId="1EEC6649" w:rsidR="00CD4E7E" w:rsidRPr="001152C4" w:rsidRDefault="00CD4E7E" w:rsidP="006E007B">
      <w:pPr>
        <w:rPr>
          <w:sz w:val="22"/>
          <w:lang w:val="es-ES_tradnl"/>
        </w:rPr>
      </w:pPr>
      <w:r w:rsidRPr="001152C4">
        <w:rPr>
          <w:sz w:val="22"/>
          <w:lang w:val="es-ES_tradnl"/>
        </w:rPr>
        <w:t>A pesar de la Opinión, una versión más amplia del artículo fue incorporada en el artículo 21 de la Ley N° 7021/2022</w:t>
      </w:r>
      <w:r w:rsidRPr="001152C4">
        <w:rPr>
          <w:rStyle w:val="Refdenotaalpie"/>
          <w:sz w:val="22"/>
          <w:lang w:val="es-ES_tradnl"/>
        </w:rPr>
        <w:footnoteReference w:id="107"/>
      </w:r>
      <w:r w:rsidRPr="001152C4">
        <w:rPr>
          <w:sz w:val="22"/>
          <w:lang w:val="es-ES_tradnl"/>
        </w:rPr>
        <w:t xml:space="preserve">. </w:t>
      </w:r>
    </w:p>
    <w:p w14:paraId="37727804" w14:textId="77777777" w:rsidR="006D6CC3" w:rsidRPr="001152C4" w:rsidRDefault="006D6CC3" w:rsidP="00BD08A1">
      <w:pPr>
        <w:pStyle w:val="Ttulo3"/>
      </w:pPr>
      <w:bookmarkStart w:id="88" w:name="_Toc160698891"/>
      <w:r w:rsidRPr="001152C4">
        <w:t>Publicación de información sensible</w:t>
      </w:r>
      <w:bookmarkEnd w:id="88"/>
    </w:p>
    <w:p w14:paraId="4A10604A" w14:textId="7463709D" w:rsidR="008A521A" w:rsidRPr="001152C4" w:rsidRDefault="006D6CC3" w:rsidP="006E007B">
      <w:pPr>
        <w:rPr>
          <w:sz w:val="22"/>
          <w:lang w:val="es-ES_tradnl"/>
        </w:rPr>
      </w:pPr>
      <w:r w:rsidRPr="001152C4">
        <w:rPr>
          <w:sz w:val="22"/>
          <w:lang w:val="es-ES_tradnl"/>
        </w:rPr>
        <w:t xml:space="preserve">En 2022, la CONACOM emitió una </w:t>
      </w:r>
      <w:r w:rsidR="001152CE">
        <w:rPr>
          <w:sz w:val="22"/>
          <w:lang w:val="es-ES_tradnl"/>
        </w:rPr>
        <w:t>O</w:t>
      </w:r>
      <w:r w:rsidRPr="001152C4">
        <w:rPr>
          <w:sz w:val="22"/>
          <w:lang w:val="es-ES_tradnl"/>
        </w:rPr>
        <w:t xml:space="preserve">pinión sobre la versión original de un proyecto de ley que pretendía obligar a las empresas de combustible a publicar su estructura de costos. </w:t>
      </w:r>
    </w:p>
    <w:p w14:paraId="1D9DBBE2" w14:textId="4CA9BFEB" w:rsidR="008A521A" w:rsidRPr="001152C4" w:rsidRDefault="008A521A" w:rsidP="006E007B">
      <w:pPr>
        <w:rPr>
          <w:sz w:val="22"/>
          <w:lang w:val="es-ES_tradnl"/>
        </w:rPr>
      </w:pPr>
      <w:r w:rsidRPr="001152C4">
        <w:rPr>
          <w:sz w:val="22"/>
          <w:lang w:val="es-ES_tradnl"/>
        </w:rPr>
        <w:t xml:space="preserve">La necesidad invocada, como se señaló más arriba, fue la de responder a los aumentos de precios de venta de combustibles al consumidor. </w:t>
      </w:r>
    </w:p>
    <w:p w14:paraId="5CCED5DE" w14:textId="5EBBC653" w:rsidR="006D6CC3" w:rsidRPr="001152C4" w:rsidRDefault="006D6CC3" w:rsidP="006E007B">
      <w:pPr>
        <w:rPr>
          <w:sz w:val="22"/>
          <w:lang w:val="es-ES_tradnl"/>
        </w:rPr>
      </w:pPr>
      <w:r w:rsidRPr="001152C4">
        <w:rPr>
          <w:sz w:val="22"/>
          <w:lang w:val="es-ES_tradnl"/>
        </w:rPr>
        <w:t xml:space="preserve">El Directorio observó que la propuesta </w:t>
      </w:r>
      <w:r w:rsidRPr="001152C4">
        <w:rPr>
          <w:i/>
          <w:iCs/>
          <w:sz w:val="22"/>
          <w:lang w:val="es-ES_tradnl"/>
        </w:rPr>
        <w:t xml:space="preserve">contribuiría eventualmente a consolidar -con el respaldo </w:t>
      </w:r>
      <w:r w:rsidRPr="001152C4">
        <w:rPr>
          <w:i/>
          <w:iCs/>
          <w:sz w:val="22"/>
          <w:lang w:val="es-ES_tradnl"/>
        </w:rPr>
        <w:lastRenderedPageBreak/>
        <w:t>del Estado- las oportunidades para que la colusión de competidores exista</w:t>
      </w:r>
      <w:r w:rsidRPr="001152C4">
        <w:rPr>
          <w:rStyle w:val="Refdenotaalpie"/>
          <w:sz w:val="22"/>
          <w:lang w:val="es-ES_tradnl"/>
        </w:rPr>
        <w:footnoteReference w:id="108"/>
      </w:r>
      <w:r w:rsidRPr="001152C4">
        <w:rPr>
          <w:i/>
          <w:iCs/>
          <w:sz w:val="22"/>
          <w:lang w:val="es-ES_tradnl"/>
        </w:rPr>
        <w:t>.</w:t>
      </w:r>
      <w:r w:rsidRPr="001152C4">
        <w:rPr>
          <w:sz w:val="22"/>
          <w:lang w:val="es-ES_tradnl"/>
        </w:rPr>
        <w:t xml:space="preserve"> La Opinión señal</w:t>
      </w:r>
      <w:r w:rsidR="008A521A" w:rsidRPr="001152C4">
        <w:rPr>
          <w:sz w:val="22"/>
          <w:lang w:val="es-ES_tradnl"/>
        </w:rPr>
        <w:t>ó</w:t>
      </w:r>
      <w:r w:rsidRPr="001152C4">
        <w:rPr>
          <w:sz w:val="22"/>
          <w:lang w:val="es-ES_tradnl"/>
        </w:rPr>
        <w:t xml:space="preserve"> además que, en caso de que existir una preocupación de una suba injustificada de precios de combustibles en virtud de una conducta anticompetitiva como podría ser un acuerdo restrictivo de la competencia, existe una alternativa que es el análisis y la sanción de dicha medida mediante la activación de los procedimientos previstos en la LDC</w:t>
      </w:r>
      <w:r w:rsidRPr="001152C4">
        <w:rPr>
          <w:rStyle w:val="Refdenotaalpie"/>
          <w:sz w:val="22"/>
          <w:lang w:val="es-ES_tradnl"/>
        </w:rPr>
        <w:footnoteReference w:id="109"/>
      </w:r>
      <w:r w:rsidRPr="001152C4">
        <w:rPr>
          <w:sz w:val="22"/>
          <w:lang w:val="es-ES_tradnl"/>
        </w:rPr>
        <w:t xml:space="preserve">. </w:t>
      </w:r>
    </w:p>
    <w:p w14:paraId="11F216CC" w14:textId="77777777" w:rsidR="00D54640" w:rsidRPr="001152C4" w:rsidRDefault="00D54640" w:rsidP="00BD08A1">
      <w:pPr>
        <w:pStyle w:val="Ttulo3"/>
      </w:pPr>
      <w:bookmarkStart w:id="89" w:name="_Toc160698892"/>
      <w:r w:rsidRPr="001152C4">
        <w:t>Fomento de contacto o comunicación entre competidores</w:t>
      </w:r>
      <w:bookmarkEnd w:id="89"/>
    </w:p>
    <w:p w14:paraId="420561DE" w14:textId="09ADD80E" w:rsidR="00E13D59" w:rsidRPr="001152C4" w:rsidRDefault="00D54640" w:rsidP="006E007B">
      <w:pPr>
        <w:rPr>
          <w:sz w:val="22"/>
          <w:lang w:val="es-ES_tradnl"/>
        </w:rPr>
      </w:pPr>
      <w:r w:rsidRPr="001152C4">
        <w:rPr>
          <w:sz w:val="22"/>
          <w:lang w:val="es-ES_tradnl"/>
        </w:rPr>
        <w:t>Al estudiar el nuevo proyecto de ley de contrataciones públicas</w:t>
      </w:r>
      <w:r w:rsidR="00E13D59" w:rsidRPr="001152C4">
        <w:rPr>
          <w:sz w:val="22"/>
          <w:lang w:val="es-ES_tradnl"/>
        </w:rPr>
        <w:t xml:space="preserve">, la CONACOM observó que se mantiene una disposición referente a la celebración de la junta de aclaraciones de oferentes. Las juntas de aclaraciones son sesiones en que las instituciones que convocan a procedimientos de contratación pública responden consultas de potenciales oferentes. </w:t>
      </w:r>
    </w:p>
    <w:p w14:paraId="5B0DACF6" w14:textId="0E1A4373" w:rsidR="00D54640" w:rsidRPr="001152C4" w:rsidRDefault="00E13D59" w:rsidP="006E007B">
      <w:pPr>
        <w:rPr>
          <w:sz w:val="22"/>
          <w:lang w:val="es-ES_tradnl"/>
        </w:rPr>
      </w:pPr>
      <w:r w:rsidRPr="001152C4">
        <w:rPr>
          <w:sz w:val="22"/>
          <w:lang w:val="es-ES_tradnl"/>
        </w:rPr>
        <w:t xml:space="preserve">Si bien la normativa no obliga a las convocantes a celebrar dichas sesiones, la congregación misma de los potenciales oferentes en ciertos lugares supone un riesgo de colusión, somo señaló la CONACOM en su Opinión, recomendando que estas comunicaciones sobre aclaraciones </w:t>
      </w:r>
      <w:r w:rsidRPr="001152C4">
        <w:rPr>
          <w:i/>
          <w:iCs/>
          <w:sz w:val="22"/>
          <w:lang w:val="es-ES_tradnl"/>
        </w:rPr>
        <w:t>sean realizadas exclusivamente mediante los mecanismos que determine la DNCP y que garanticen que no hay posibilidad de comunicación o contacto entre competidores, suprimiendo la mención de las juntas de aclaraciones</w:t>
      </w:r>
      <w:r w:rsidR="001030E2" w:rsidRPr="001152C4">
        <w:rPr>
          <w:i/>
          <w:iCs/>
          <w:sz w:val="22"/>
          <w:lang w:val="es-ES_tradnl"/>
        </w:rPr>
        <w:t xml:space="preserve"> o bien autorizando su realización mediante plataformas tecnológicas que permitan ocultar la identidad de los consultantes</w:t>
      </w:r>
      <w:r w:rsidR="001030E2" w:rsidRPr="001152C4">
        <w:rPr>
          <w:rStyle w:val="Refdenotaalpie"/>
          <w:i/>
          <w:iCs/>
          <w:sz w:val="22"/>
          <w:lang w:val="es-ES_tradnl"/>
        </w:rPr>
        <w:footnoteReference w:id="110"/>
      </w:r>
      <w:r w:rsidR="001030E2" w:rsidRPr="001152C4">
        <w:rPr>
          <w:sz w:val="22"/>
          <w:lang w:val="es-ES_tradnl"/>
        </w:rPr>
        <w:t xml:space="preserve">. </w:t>
      </w:r>
    </w:p>
    <w:p w14:paraId="69ADCCC5" w14:textId="77777777" w:rsidR="002C535A" w:rsidRPr="001152C4" w:rsidRDefault="002C535A" w:rsidP="00BD08A1">
      <w:pPr>
        <w:pStyle w:val="Ttulo3"/>
      </w:pPr>
      <w:bookmarkStart w:id="90" w:name="_Toc160698893"/>
      <w:r w:rsidRPr="001152C4">
        <w:t xml:space="preserve">Régimen de autorregulación o </w:t>
      </w:r>
      <w:proofErr w:type="spellStart"/>
      <w:r w:rsidRPr="001152C4">
        <w:t>corregulación</w:t>
      </w:r>
      <w:bookmarkEnd w:id="90"/>
      <w:proofErr w:type="spellEnd"/>
    </w:p>
    <w:p w14:paraId="430A9B2A" w14:textId="5C80A04F" w:rsidR="002C535A" w:rsidRPr="001152C4" w:rsidRDefault="00435F00" w:rsidP="002C535A">
      <w:pPr>
        <w:rPr>
          <w:rFonts w:cs="Arial"/>
          <w:sz w:val="22"/>
        </w:rPr>
      </w:pPr>
      <w:r w:rsidRPr="001152C4">
        <w:rPr>
          <w:rFonts w:cs="Arial"/>
          <w:sz w:val="22"/>
        </w:rPr>
        <w:t>La autoridad de competencia mexicana, COFECE, presenta como ejemplo que una regulación delegue en una asociación gremial el análisis de los requisitos y la emisión de la autorización para ejercer una profesión. De esta forma, se generarían incentivos para que la asociación establezca barreras a la entrada de potenciales competidores al mercado</w:t>
      </w:r>
      <w:r w:rsidRPr="001152C4">
        <w:rPr>
          <w:rStyle w:val="Refdenotaalpie"/>
          <w:rFonts w:cs="Arial"/>
          <w:sz w:val="22"/>
        </w:rPr>
        <w:footnoteReference w:id="111"/>
      </w:r>
      <w:r w:rsidRPr="001152C4">
        <w:rPr>
          <w:rFonts w:cs="Arial"/>
          <w:sz w:val="22"/>
        </w:rPr>
        <w:t xml:space="preserve">. </w:t>
      </w:r>
    </w:p>
    <w:p w14:paraId="08EF8077" w14:textId="77777777" w:rsidR="002C535A" w:rsidRPr="001152C4" w:rsidRDefault="002C535A" w:rsidP="00BD08A1">
      <w:pPr>
        <w:pStyle w:val="Ttulo2"/>
      </w:pPr>
      <w:bookmarkStart w:id="91" w:name="_Toc160698894"/>
      <w:r w:rsidRPr="001152C4">
        <w:t>Normas que limitan las alternativas e información de consumidores</w:t>
      </w:r>
      <w:bookmarkEnd w:id="91"/>
    </w:p>
    <w:p w14:paraId="51966976" w14:textId="77777777" w:rsidR="002C535A" w:rsidRPr="001152C4" w:rsidRDefault="002C535A" w:rsidP="00BD08A1">
      <w:pPr>
        <w:pStyle w:val="Ttulo3"/>
      </w:pPr>
      <w:bookmarkStart w:id="92" w:name="_Toc160698895"/>
      <w:r w:rsidRPr="001152C4">
        <w:lastRenderedPageBreak/>
        <w:t>Reducción de movilidad de clientes entre proveedores</w:t>
      </w:r>
      <w:bookmarkEnd w:id="92"/>
    </w:p>
    <w:p w14:paraId="70D2F5FD" w14:textId="267E42F7" w:rsidR="002C535A" w:rsidRPr="001152C4" w:rsidRDefault="00060E2B" w:rsidP="002C535A">
      <w:pPr>
        <w:rPr>
          <w:sz w:val="22"/>
          <w:lang w:val="es-ES_tradnl"/>
        </w:rPr>
      </w:pPr>
      <w:r w:rsidRPr="001152C4">
        <w:rPr>
          <w:sz w:val="22"/>
          <w:lang w:val="es-ES_tradnl"/>
        </w:rPr>
        <w:t>La COFECE ofrece como ejemplo que una regulación establezca que, para transferir un crédito hipotecario de un banco a otro, se exija la intervención de un notario público. Señala que esto eleva el costo de cambio y limita el traspaso de créditos entre instituciones financieras</w:t>
      </w:r>
      <w:r w:rsidRPr="001152C4">
        <w:rPr>
          <w:rStyle w:val="Refdenotaalpie"/>
          <w:sz w:val="22"/>
          <w:lang w:val="es-ES_tradnl"/>
        </w:rPr>
        <w:footnoteReference w:id="112"/>
      </w:r>
      <w:r w:rsidRPr="001152C4">
        <w:rPr>
          <w:sz w:val="22"/>
          <w:lang w:val="es-ES_tradnl"/>
        </w:rPr>
        <w:t xml:space="preserve">. </w:t>
      </w:r>
    </w:p>
    <w:p w14:paraId="6833EBB6" w14:textId="77777777" w:rsidR="002C535A" w:rsidRPr="001152C4" w:rsidRDefault="002C535A" w:rsidP="00BD08A1">
      <w:pPr>
        <w:pStyle w:val="Ttulo3"/>
      </w:pPr>
      <w:bookmarkStart w:id="93" w:name="_Toc160698896"/>
      <w:r w:rsidRPr="001152C4">
        <w:t>Requisitos insuficientes de información para la toma de decisiones</w:t>
      </w:r>
      <w:bookmarkEnd w:id="93"/>
    </w:p>
    <w:p w14:paraId="60E2BE43" w14:textId="4A2BACBC" w:rsidR="00BD4417" w:rsidRDefault="00BD4417" w:rsidP="006E007B">
      <w:pPr>
        <w:rPr>
          <w:sz w:val="22"/>
          <w:lang w:val="es-ES_tradnl"/>
        </w:rPr>
      </w:pPr>
      <w:r>
        <w:rPr>
          <w:sz w:val="22"/>
          <w:lang w:val="es-ES_tradnl"/>
        </w:rPr>
        <w:t xml:space="preserve">La Opinión del Directorio D/06/2023 observó que, si bien existe regulación que ordena informar a los clientes de bancos y financieras de sus derechos de contratar con agentes y corredores de seguros y aseguradores de su elección, no existe disposición similar para las empresas que comercializan vehículos y que otorgan créditos supeditados a seguros. </w:t>
      </w:r>
    </w:p>
    <w:p w14:paraId="19FF2839" w14:textId="1E9F149C" w:rsidR="00F42608" w:rsidRPr="001152C4" w:rsidRDefault="00BD4417" w:rsidP="006E007B">
      <w:pPr>
        <w:rPr>
          <w:sz w:val="22"/>
          <w:lang w:val="es-ES_tradnl"/>
        </w:rPr>
      </w:pPr>
      <w:r>
        <w:rPr>
          <w:sz w:val="22"/>
          <w:lang w:val="es-ES_tradnl"/>
        </w:rPr>
        <w:t>La Opinión recomendó a la Superintendencia de Seguros del Banco Central del Paraguay estudiar la pertinencia de emitir una regulación que extienda la obligación mencionada a todas las entidades que otorguen créditos para la compra de vehículos, a fin de resolver cualquier asimetría en la información disponible al consumidor</w:t>
      </w:r>
      <w:r w:rsidR="00F42608" w:rsidRPr="001152C4">
        <w:rPr>
          <w:rStyle w:val="Refdenotaalpie"/>
          <w:sz w:val="22"/>
          <w:lang w:val="es-ES_tradnl"/>
        </w:rPr>
        <w:footnoteReference w:id="113"/>
      </w:r>
      <w:r w:rsidR="00F42608" w:rsidRPr="001152C4">
        <w:rPr>
          <w:sz w:val="22"/>
          <w:lang w:val="es-ES_tradnl"/>
        </w:rPr>
        <w:t xml:space="preserve">. </w:t>
      </w:r>
      <w:bookmarkEnd w:id="71"/>
    </w:p>
    <w:sectPr w:rsidR="00F42608" w:rsidRPr="001152C4" w:rsidSect="005463B3">
      <w:headerReference w:type="default" r:id="rId11"/>
      <w:footerReference w:type="default" r:id="rId12"/>
      <w:headerReference w:type="first" r:id="rId13"/>
      <w:footerReference w:type="first" r:id="rId14"/>
      <w:pgSz w:w="11906" w:h="16838"/>
      <w:pgMar w:top="1417" w:right="99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2654" w14:textId="77777777" w:rsidR="005463B3" w:rsidRDefault="005463B3" w:rsidP="00530113">
      <w:r>
        <w:separator/>
      </w:r>
    </w:p>
  </w:endnote>
  <w:endnote w:type="continuationSeparator" w:id="0">
    <w:p w14:paraId="54E015BE" w14:textId="77777777" w:rsidR="005463B3" w:rsidRDefault="005463B3" w:rsidP="00530113">
      <w:r>
        <w:continuationSeparator/>
      </w:r>
    </w:p>
  </w:endnote>
  <w:endnote w:type="continuationNotice" w:id="1">
    <w:p w14:paraId="5B55255E" w14:textId="77777777" w:rsidR="005463B3" w:rsidRDefault="005463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E3D0" w14:textId="77777777" w:rsidR="0090197E" w:rsidRPr="0090197E" w:rsidRDefault="0090197E" w:rsidP="0090197E">
    <w:pPr>
      <w:pStyle w:val="Piedepgina"/>
      <w:jc w:val="center"/>
      <w:rPr>
        <w:rFonts w:ascii="Gotham Bold" w:hAnsi="Gotham Bold"/>
        <w:sz w:val="18"/>
        <w:szCs w:val="18"/>
      </w:rPr>
    </w:pPr>
    <w:r w:rsidRPr="0090197E">
      <w:rPr>
        <w:rFonts w:ascii="Gotham Bold" w:hAnsi="Gotham Bold"/>
        <w:sz w:val="18"/>
        <w:szCs w:val="18"/>
      </w:rPr>
      <w:t xml:space="preserve">Página </w:t>
    </w:r>
    <w:r w:rsidRPr="0090197E">
      <w:rPr>
        <w:rFonts w:ascii="Gotham Bold" w:hAnsi="Gotham Bold"/>
        <w:sz w:val="18"/>
        <w:szCs w:val="18"/>
      </w:rPr>
      <w:fldChar w:fldCharType="begin"/>
    </w:r>
    <w:r w:rsidRPr="0090197E">
      <w:rPr>
        <w:rFonts w:ascii="Gotham Bold" w:hAnsi="Gotham Bold"/>
        <w:sz w:val="18"/>
        <w:szCs w:val="18"/>
      </w:rPr>
      <w:instrText>PAGE  \* Arabic  \* MERGEFORMAT</w:instrText>
    </w:r>
    <w:r w:rsidRPr="0090197E">
      <w:rPr>
        <w:rFonts w:ascii="Gotham Bold" w:hAnsi="Gotham Bold"/>
        <w:sz w:val="18"/>
        <w:szCs w:val="18"/>
      </w:rPr>
      <w:fldChar w:fldCharType="separate"/>
    </w:r>
    <w:r w:rsidRPr="0090197E">
      <w:rPr>
        <w:rFonts w:ascii="Gotham Bold" w:hAnsi="Gotham Bold"/>
        <w:sz w:val="18"/>
        <w:szCs w:val="18"/>
      </w:rPr>
      <w:t>1</w:t>
    </w:r>
    <w:r w:rsidRPr="0090197E">
      <w:rPr>
        <w:rFonts w:ascii="Gotham Bold" w:hAnsi="Gotham Bold"/>
        <w:sz w:val="18"/>
        <w:szCs w:val="18"/>
      </w:rPr>
      <w:fldChar w:fldCharType="end"/>
    </w:r>
    <w:r w:rsidRPr="0090197E">
      <w:rPr>
        <w:rFonts w:ascii="Gotham Bold" w:hAnsi="Gotham Bold"/>
        <w:sz w:val="18"/>
        <w:szCs w:val="18"/>
      </w:rPr>
      <w:t xml:space="preserve"> de </w:t>
    </w:r>
    <w:r w:rsidRPr="0090197E">
      <w:rPr>
        <w:rFonts w:ascii="Gotham Bold" w:hAnsi="Gotham Bold"/>
        <w:sz w:val="18"/>
        <w:szCs w:val="18"/>
      </w:rPr>
      <w:fldChar w:fldCharType="begin"/>
    </w:r>
    <w:r w:rsidRPr="0090197E">
      <w:rPr>
        <w:rFonts w:ascii="Gotham Bold" w:hAnsi="Gotham Bold"/>
        <w:sz w:val="18"/>
        <w:szCs w:val="18"/>
      </w:rPr>
      <w:instrText>NUMPAGES  \* Arabic  \* MERGEFORMAT</w:instrText>
    </w:r>
    <w:r w:rsidRPr="0090197E">
      <w:rPr>
        <w:rFonts w:ascii="Gotham Bold" w:hAnsi="Gotham Bold"/>
        <w:sz w:val="18"/>
        <w:szCs w:val="18"/>
      </w:rPr>
      <w:fldChar w:fldCharType="separate"/>
    </w:r>
    <w:r w:rsidRPr="0090197E">
      <w:rPr>
        <w:rFonts w:ascii="Gotham Bold" w:hAnsi="Gotham Bold"/>
        <w:sz w:val="18"/>
        <w:szCs w:val="18"/>
      </w:rPr>
      <w:t>1</w:t>
    </w:r>
    <w:r w:rsidRPr="0090197E">
      <w:rPr>
        <w:rFonts w:ascii="Gotham Bold" w:hAnsi="Gotham Bold"/>
        <w:sz w:val="18"/>
        <w:szCs w:val="18"/>
      </w:rPr>
      <w:fldChar w:fldCharType="end"/>
    </w:r>
  </w:p>
  <w:p w14:paraId="00DD7031" w14:textId="77777777" w:rsidR="0090197E" w:rsidRPr="0090197E" w:rsidRDefault="0090197E" w:rsidP="0090197E">
    <w:pPr>
      <w:pStyle w:val="Piedepgina"/>
      <w:jc w:val="center"/>
      <w:rPr>
        <w:rFonts w:ascii="Gotham Bold" w:hAnsi="Gotham Bold"/>
        <w:sz w:val="18"/>
        <w:szCs w:val="18"/>
        <w:lang w:val="pt-BR"/>
      </w:rPr>
    </w:pPr>
    <w:r w:rsidRPr="0090197E">
      <w:rPr>
        <w:rFonts w:ascii="Gotham Bold" w:hAnsi="Gotham Bold"/>
        <w:sz w:val="18"/>
        <w:szCs w:val="18"/>
      </w:rPr>
      <w:t xml:space="preserve">España c/ Gral. </w:t>
    </w:r>
    <w:r w:rsidRPr="0090197E">
      <w:rPr>
        <w:rFonts w:ascii="Gotham Bold" w:hAnsi="Gotham Bold"/>
        <w:sz w:val="18"/>
        <w:szCs w:val="18"/>
        <w:lang w:val="pt-BR"/>
      </w:rPr>
      <w:t xml:space="preserve">Santos N° 1336 </w:t>
    </w:r>
    <w:r w:rsidRPr="0090197E">
      <w:rPr>
        <w:rFonts w:ascii="Gotham Bold" w:hAnsi="Gotham Bold"/>
        <w:sz w:val="18"/>
        <w:szCs w:val="18"/>
      </w:rPr>
      <w:sym w:font="Wingdings" w:char="F09F"/>
    </w:r>
    <w:r w:rsidRPr="0090197E">
      <w:rPr>
        <w:rFonts w:ascii="Gotham Bold" w:hAnsi="Gotham Bold"/>
        <w:sz w:val="18"/>
        <w:szCs w:val="18"/>
        <w:lang w:val="pt-BR"/>
      </w:rPr>
      <w:t xml:space="preserve"> </w:t>
    </w:r>
    <w:proofErr w:type="spellStart"/>
    <w:r w:rsidRPr="0090197E">
      <w:rPr>
        <w:rFonts w:ascii="Gotham Bold" w:hAnsi="Gotham Bold"/>
        <w:sz w:val="18"/>
        <w:szCs w:val="18"/>
        <w:lang w:val="pt-BR"/>
      </w:rPr>
      <w:t>Teléfono</w:t>
    </w:r>
    <w:proofErr w:type="spellEnd"/>
    <w:r w:rsidRPr="0090197E">
      <w:rPr>
        <w:rFonts w:ascii="Gotham Bold" w:hAnsi="Gotham Bold"/>
        <w:sz w:val="18"/>
        <w:szCs w:val="18"/>
        <w:lang w:val="pt-BR"/>
      </w:rPr>
      <w:t>: (+595) 21 208 707/8</w:t>
    </w:r>
  </w:p>
  <w:p w14:paraId="4A25C22B" w14:textId="77777777" w:rsidR="0090197E" w:rsidRPr="0090197E" w:rsidRDefault="0090197E" w:rsidP="0090197E">
    <w:pPr>
      <w:pStyle w:val="Piedepgina"/>
      <w:jc w:val="center"/>
      <w:rPr>
        <w:rFonts w:ascii="Gotham Bold" w:hAnsi="Gotham Bold"/>
        <w:sz w:val="18"/>
        <w:szCs w:val="18"/>
        <w:lang w:val="pt-BR"/>
      </w:rPr>
    </w:pPr>
    <w:r w:rsidRPr="0090197E">
      <w:rPr>
        <w:rFonts w:ascii="Gotham Bold" w:hAnsi="Gotham Bold"/>
        <w:sz w:val="18"/>
        <w:szCs w:val="18"/>
        <w:lang w:val="pt-BR"/>
      </w:rPr>
      <w:t xml:space="preserve">conacom@conacom.gov.py </w:t>
    </w:r>
    <w:r w:rsidRPr="0090197E">
      <w:rPr>
        <w:rFonts w:ascii="Gotham Bold" w:hAnsi="Gotham Bold"/>
        <w:sz w:val="18"/>
        <w:szCs w:val="18"/>
      </w:rPr>
      <w:sym w:font="Wingdings" w:char="F09F"/>
    </w:r>
    <w:r w:rsidRPr="0090197E">
      <w:rPr>
        <w:rFonts w:ascii="Gotham Bold" w:hAnsi="Gotham Bold"/>
        <w:sz w:val="18"/>
        <w:szCs w:val="18"/>
        <w:lang w:val="pt-BR"/>
      </w:rPr>
      <w:t xml:space="preserve"> www.conacom.gov.py</w:t>
    </w:r>
  </w:p>
  <w:p w14:paraId="7408D8F1" w14:textId="0A4E60D5" w:rsidR="00C1739C" w:rsidRPr="0090197E" w:rsidRDefault="00C1739C" w:rsidP="0090197E">
    <w:pPr>
      <w:pStyle w:val="Piedepgina"/>
      <w:rPr>
        <w:sz w:val="18"/>
        <w:szCs w:val="18"/>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0123" w14:textId="77777777" w:rsidR="003B02A8" w:rsidRPr="0090197E" w:rsidRDefault="003B02A8" w:rsidP="003B02A8">
    <w:pPr>
      <w:pStyle w:val="Piedepgina"/>
      <w:jc w:val="center"/>
      <w:rPr>
        <w:rFonts w:ascii="Gotham Bold" w:hAnsi="Gotham Bold"/>
        <w:sz w:val="18"/>
        <w:szCs w:val="18"/>
      </w:rPr>
    </w:pPr>
    <w:r w:rsidRPr="0090197E">
      <w:rPr>
        <w:rFonts w:ascii="Gotham Bold" w:hAnsi="Gotham Bold"/>
        <w:sz w:val="18"/>
        <w:szCs w:val="18"/>
      </w:rPr>
      <w:t xml:space="preserve">Página </w:t>
    </w:r>
    <w:r w:rsidRPr="0090197E">
      <w:rPr>
        <w:rFonts w:ascii="Gotham Bold" w:hAnsi="Gotham Bold"/>
        <w:sz w:val="18"/>
        <w:szCs w:val="18"/>
      </w:rPr>
      <w:fldChar w:fldCharType="begin"/>
    </w:r>
    <w:r w:rsidRPr="0090197E">
      <w:rPr>
        <w:rFonts w:ascii="Gotham Bold" w:hAnsi="Gotham Bold"/>
        <w:sz w:val="18"/>
        <w:szCs w:val="18"/>
      </w:rPr>
      <w:instrText>PAGE  \* Arabic  \* MERGEFORMAT</w:instrText>
    </w:r>
    <w:r w:rsidRPr="0090197E">
      <w:rPr>
        <w:rFonts w:ascii="Gotham Bold" w:hAnsi="Gotham Bold"/>
        <w:sz w:val="18"/>
        <w:szCs w:val="18"/>
      </w:rPr>
      <w:fldChar w:fldCharType="separate"/>
    </w:r>
    <w:r>
      <w:rPr>
        <w:rFonts w:ascii="Gotham Bold" w:hAnsi="Gotham Bold"/>
        <w:sz w:val="18"/>
        <w:szCs w:val="18"/>
      </w:rPr>
      <w:t>2</w:t>
    </w:r>
    <w:r w:rsidRPr="0090197E">
      <w:rPr>
        <w:rFonts w:ascii="Gotham Bold" w:hAnsi="Gotham Bold"/>
        <w:sz w:val="18"/>
        <w:szCs w:val="18"/>
      </w:rPr>
      <w:fldChar w:fldCharType="end"/>
    </w:r>
    <w:r w:rsidRPr="0090197E">
      <w:rPr>
        <w:rFonts w:ascii="Gotham Bold" w:hAnsi="Gotham Bold"/>
        <w:sz w:val="18"/>
        <w:szCs w:val="18"/>
      </w:rPr>
      <w:t xml:space="preserve"> de </w:t>
    </w:r>
    <w:r w:rsidRPr="0090197E">
      <w:rPr>
        <w:rFonts w:ascii="Gotham Bold" w:hAnsi="Gotham Bold"/>
        <w:sz w:val="18"/>
        <w:szCs w:val="18"/>
      </w:rPr>
      <w:fldChar w:fldCharType="begin"/>
    </w:r>
    <w:r w:rsidRPr="0090197E">
      <w:rPr>
        <w:rFonts w:ascii="Gotham Bold" w:hAnsi="Gotham Bold"/>
        <w:sz w:val="18"/>
        <w:szCs w:val="18"/>
      </w:rPr>
      <w:instrText>NUMPAGES  \* Arabic  \* MERGEFORMAT</w:instrText>
    </w:r>
    <w:r w:rsidRPr="0090197E">
      <w:rPr>
        <w:rFonts w:ascii="Gotham Bold" w:hAnsi="Gotham Bold"/>
        <w:sz w:val="18"/>
        <w:szCs w:val="18"/>
      </w:rPr>
      <w:fldChar w:fldCharType="separate"/>
    </w:r>
    <w:r>
      <w:rPr>
        <w:rFonts w:ascii="Gotham Bold" w:hAnsi="Gotham Bold"/>
        <w:sz w:val="18"/>
        <w:szCs w:val="18"/>
      </w:rPr>
      <w:t>41</w:t>
    </w:r>
    <w:r w:rsidRPr="0090197E">
      <w:rPr>
        <w:rFonts w:ascii="Gotham Bold" w:hAnsi="Gotham Bold"/>
        <w:sz w:val="18"/>
        <w:szCs w:val="18"/>
      </w:rPr>
      <w:fldChar w:fldCharType="end"/>
    </w:r>
  </w:p>
  <w:p w14:paraId="3C677BEC" w14:textId="77777777" w:rsidR="003B02A8" w:rsidRPr="0090197E" w:rsidRDefault="003B02A8" w:rsidP="003B02A8">
    <w:pPr>
      <w:pStyle w:val="Piedepgina"/>
      <w:jc w:val="center"/>
      <w:rPr>
        <w:rFonts w:ascii="Gotham Bold" w:hAnsi="Gotham Bold"/>
        <w:sz w:val="18"/>
        <w:szCs w:val="18"/>
        <w:lang w:val="pt-BR"/>
      </w:rPr>
    </w:pPr>
    <w:r w:rsidRPr="0090197E">
      <w:rPr>
        <w:rFonts w:ascii="Gotham Bold" w:hAnsi="Gotham Bold"/>
        <w:sz w:val="18"/>
        <w:szCs w:val="18"/>
      </w:rPr>
      <w:t xml:space="preserve">España c/ Gral. </w:t>
    </w:r>
    <w:r w:rsidRPr="0090197E">
      <w:rPr>
        <w:rFonts w:ascii="Gotham Bold" w:hAnsi="Gotham Bold"/>
        <w:sz w:val="18"/>
        <w:szCs w:val="18"/>
        <w:lang w:val="pt-BR"/>
      </w:rPr>
      <w:t xml:space="preserve">Santos N° 1336 </w:t>
    </w:r>
    <w:r w:rsidRPr="0090197E">
      <w:rPr>
        <w:rFonts w:ascii="Gotham Bold" w:hAnsi="Gotham Bold"/>
        <w:sz w:val="18"/>
        <w:szCs w:val="18"/>
      </w:rPr>
      <w:sym w:font="Wingdings" w:char="F09F"/>
    </w:r>
    <w:r w:rsidRPr="0090197E">
      <w:rPr>
        <w:rFonts w:ascii="Gotham Bold" w:hAnsi="Gotham Bold"/>
        <w:sz w:val="18"/>
        <w:szCs w:val="18"/>
        <w:lang w:val="pt-BR"/>
      </w:rPr>
      <w:t xml:space="preserve"> </w:t>
    </w:r>
    <w:proofErr w:type="spellStart"/>
    <w:r w:rsidRPr="0090197E">
      <w:rPr>
        <w:rFonts w:ascii="Gotham Bold" w:hAnsi="Gotham Bold"/>
        <w:sz w:val="18"/>
        <w:szCs w:val="18"/>
        <w:lang w:val="pt-BR"/>
      </w:rPr>
      <w:t>Teléfono</w:t>
    </w:r>
    <w:proofErr w:type="spellEnd"/>
    <w:r w:rsidRPr="0090197E">
      <w:rPr>
        <w:rFonts w:ascii="Gotham Bold" w:hAnsi="Gotham Bold"/>
        <w:sz w:val="18"/>
        <w:szCs w:val="18"/>
        <w:lang w:val="pt-BR"/>
      </w:rPr>
      <w:t>: (+595) 21 208 707/8</w:t>
    </w:r>
  </w:p>
  <w:p w14:paraId="6909EF43" w14:textId="77777777" w:rsidR="003B02A8" w:rsidRPr="0090197E" w:rsidRDefault="003B02A8" w:rsidP="003B02A8">
    <w:pPr>
      <w:pStyle w:val="Piedepgina"/>
      <w:jc w:val="center"/>
      <w:rPr>
        <w:rFonts w:ascii="Gotham Bold" w:hAnsi="Gotham Bold"/>
        <w:sz w:val="18"/>
        <w:szCs w:val="18"/>
        <w:lang w:val="pt-BR"/>
      </w:rPr>
    </w:pPr>
    <w:r w:rsidRPr="0090197E">
      <w:rPr>
        <w:rFonts w:ascii="Gotham Bold" w:hAnsi="Gotham Bold"/>
        <w:sz w:val="18"/>
        <w:szCs w:val="18"/>
        <w:lang w:val="pt-BR"/>
      </w:rPr>
      <w:t xml:space="preserve">conacom@conacom.gov.py </w:t>
    </w:r>
    <w:r w:rsidRPr="0090197E">
      <w:rPr>
        <w:rFonts w:ascii="Gotham Bold" w:hAnsi="Gotham Bold"/>
        <w:sz w:val="18"/>
        <w:szCs w:val="18"/>
      </w:rPr>
      <w:sym w:font="Wingdings" w:char="F09F"/>
    </w:r>
    <w:r w:rsidRPr="0090197E">
      <w:rPr>
        <w:rFonts w:ascii="Gotham Bold" w:hAnsi="Gotham Bold"/>
        <w:sz w:val="18"/>
        <w:szCs w:val="18"/>
        <w:lang w:val="pt-BR"/>
      </w:rPr>
      <w:t xml:space="preserve"> www.conacom.gov.py</w:t>
    </w:r>
  </w:p>
  <w:p w14:paraId="3D2CD813" w14:textId="77777777" w:rsidR="003B02A8" w:rsidRPr="0090197E" w:rsidRDefault="003B02A8" w:rsidP="003B02A8">
    <w:pPr>
      <w:pStyle w:val="Piedepgina"/>
      <w:rPr>
        <w:sz w:val="18"/>
        <w:szCs w:val="1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F50D" w14:textId="77777777" w:rsidR="005463B3" w:rsidRDefault="005463B3" w:rsidP="00530113">
      <w:r>
        <w:separator/>
      </w:r>
    </w:p>
  </w:footnote>
  <w:footnote w:type="continuationSeparator" w:id="0">
    <w:p w14:paraId="6B11607A" w14:textId="77777777" w:rsidR="005463B3" w:rsidRDefault="005463B3" w:rsidP="00530113">
      <w:r>
        <w:continuationSeparator/>
      </w:r>
    </w:p>
  </w:footnote>
  <w:footnote w:type="continuationNotice" w:id="1">
    <w:p w14:paraId="1D9B9B0C" w14:textId="77777777" w:rsidR="005463B3" w:rsidRDefault="005463B3">
      <w:pPr>
        <w:spacing w:before="0" w:after="0" w:line="240" w:lineRule="auto"/>
      </w:pPr>
    </w:p>
  </w:footnote>
  <w:footnote w:id="2">
    <w:p w14:paraId="6BEE8421" w14:textId="4DA6AE69" w:rsidR="006350DA" w:rsidRPr="00BD08A1" w:rsidRDefault="006350DA" w:rsidP="00BD08A1">
      <w:pPr>
        <w:pStyle w:val="Textonotapie"/>
        <w:rPr>
          <w:szCs w:val="18"/>
        </w:rPr>
      </w:pPr>
      <w:r w:rsidRPr="00BD08A1">
        <w:rPr>
          <w:rStyle w:val="Refdenotaalpie"/>
          <w:szCs w:val="18"/>
        </w:rPr>
        <w:footnoteRef/>
      </w:r>
      <w:r w:rsidRPr="00BD08A1">
        <w:rPr>
          <w:szCs w:val="18"/>
        </w:rPr>
        <w:t xml:space="preserve"> CONACOM, </w:t>
      </w:r>
      <w:r w:rsidRPr="00BD08A1">
        <w:rPr>
          <w:i/>
          <w:iCs/>
          <w:szCs w:val="18"/>
        </w:rPr>
        <w:t xml:space="preserve">Guía para la regulación con criterios de competencia </w:t>
      </w:r>
      <w:r w:rsidRPr="00BD08A1">
        <w:rPr>
          <w:szCs w:val="18"/>
        </w:rPr>
        <w:t>&lt;https://drive.google.com/file/d/1Lca7nllN701sAF10itI3sSV-FzsFNK8C/view&gt; (Consultado el 10 de enero de 2024).</w:t>
      </w:r>
    </w:p>
  </w:footnote>
  <w:footnote w:id="3">
    <w:p w14:paraId="15599701" w14:textId="1D185045" w:rsidR="001E3A81" w:rsidRPr="00BD08A1" w:rsidRDefault="001E3A81" w:rsidP="00BD08A1">
      <w:pPr>
        <w:pStyle w:val="Textonotapie"/>
        <w:rPr>
          <w:szCs w:val="18"/>
        </w:rPr>
      </w:pPr>
      <w:r w:rsidRPr="00BD08A1">
        <w:rPr>
          <w:rStyle w:val="Refdenotaalpie"/>
          <w:szCs w:val="18"/>
        </w:rPr>
        <w:footnoteRef/>
      </w:r>
      <w:r w:rsidRPr="00BD08A1">
        <w:rPr>
          <w:szCs w:val="18"/>
        </w:rPr>
        <w:t xml:space="preserve"> CONACOM, </w:t>
      </w:r>
      <w:r w:rsidRPr="00BD08A1">
        <w:rPr>
          <w:i/>
          <w:iCs/>
          <w:szCs w:val="18"/>
        </w:rPr>
        <w:t xml:space="preserve">Guía para la elaboración de programas de cumplimiento en materia de competencia </w:t>
      </w:r>
      <w:r w:rsidRPr="00BD08A1">
        <w:rPr>
          <w:szCs w:val="18"/>
        </w:rPr>
        <w:t xml:space="preserve">&lt;https://drive.google.com/file/d/1nUbvYq7EysAnS6SSv63JstFsy7ypPBZb/view&gt; (Consultado el </w:t>
      </w:r>
      <w:r w:rsidR="006350DA" w:rsidRPr="00BD08A1">
        <w:rPr>
          <w:szCs w:val="18"/>
        </w:rPr>
        <w:t>10</w:t>
      </w:r>
      <w:r w:rsidRPr="00BD08A1">
        <w:rPr>
          <w:szCs w:val="18"/>
        </w:rPr>
        <w:t xml:space="preserve"> de </w:t>
      </w:r>
      <w:r w:rsidR="006350DA" w:rsidRPr="00BD08A1">
        <w:rPr>
          <w:szCs w:val="18"/>
        </w:rPr>
        <w:t xml:space="preserve">enero </w:t>
      </w:r>
      <w:r w:rsidRPr="00BD08A1">
        <w:rPr>
          <w:szCs w:val="18"/>
        </w:rPr>
        <w:t>de 202</w:t>
      </w:r>
      <w:r w:rsidR="006350DA" w:rsidRPr="00BD08A1">
        <w:rPr>
          <w:szCs w:val="18"/>
        </w:rPr>
        <w:t>4</w:t>
      </w:r>
      <w:r w:rsidRPr="00BD08A1">
        <w:rPr>
          <w:szCs w:val="18"/>
        </w:rPr>
        <w:t xml:space="preserve">). </w:t>
      </w:r>
    </w:p>
  </w:footnote>
  <w:footnote w:id="4">
    <w:p w14:paraId="27FB8623" w14:textId="4C37D069" w:rsidR="00DB45B8" w:rsidRPr="00BD08A1" w:rsidRDefault="00DB45B8" w:rsidP="00BD08A1">
      <w:pPr>
        <w:pStyle w:val="Textonotapie"/>
        <w:rPr>
          <w:szCs w:val="18"/>
        </w:rPr>
      </w:pPr>
      <w:r w:rsidRPr="00BD08A1">
        <w:rPr>
          <w:rStyle w:val="Refdenotaalpie"/>
          <w:szCs w:val="18"/>
        </w:rPr>
        <w:footnoteRef/>
      </w:r>
      <w:r w:rsidRPr="00BD08A1">
        <w:rPr>
          <w:szCs w:val="18"/>
        </w:rPr>
        <w:t xml:space="preserve"> Comisión Nacional de los Mercados y la Competencia</w:t>
      </w:r>
      <w:r w:rsidR="00C10FC2" w:rsidRPr="00BD08A1">
        <w:rPr>
          <w:szCs w:val="18"/>
        </w:rPr>
        <w:t xml:space="preserve"> (CNMC)</w:t>
      </w:r>
      <w:r w:rsidRPr="00BD08A1">
        <w:rPr>
          <w:szCs w:val="18"/>
        </w:rPr>
        <w:t xml:space="preserve"> de España, </w:t>
      </w:r>
      <w:r w:rsidRPr="00BD08A1">
        <w:rPr>
          <w:i/>
          <w:szCs w:val="18"/>
        </w:rPr>
        <w:t>Introducción a la Defensa de la Competencia</w:t>
      </w:r>
      <w:r w:rsidRPr="00BD08A1">
        <w:rPr>
          <w:szCs w:val="18"/>
        </w:rPr>
        <w:t xml:space="preserve">, Módulo IV, 9ª Edición, p. 3. </w:t>
      </w:r>
    </w:p>
  </w:footnote>
  <w:footnote w:id="5">
    <w:p w14:paraId="09B6ECC6" w14:textId="4985E5B9" w:rsidR="00DB45B8" w:rsidRPr="00BD08A1" w:rsidRDefault="00DB45B8" w:rsidP="00BD08A1">
      <w:pPr>
        <w:pStyle w:val="Textonotapie"/>
        <w:rPr>
          <w:szCs w:val="18"/>
          <w:lang w:val="es-PY"/>
        </w:rPr>
      </w:pPr>
      <w:r w:rsidRPr="00BD08A1">
        <w:rPr>
          <w:rStyle w:val="Refdenotaalpie"/>
          <w:szCs w:val="18"/>
        </w:rPr>
        <w:footnoteRef/>
      </w:r>
      <w:r w:rsidRPr="00BD08A1">
        <w:rPr>
          <w:szCs w:val="18"/>
          <w:lang w:val="es-PY"/>
        </w:rPr>
        <w:t xml:space="preserve"> CONACOM, </w:t>
      </w:r>
      <w:r w:rsidRPr="00BD08A1">
        <w:rPr>
          <w:i/>
          <w:iCs/>
          <w:szCs w:val="18"/>
          <w:lang w:val="es-PY"/>
        </w:rPr>
        <w:t>Guía para Estudios de Mercado</w:t>
      </w:r>
      <w:r w:rsidRPr="00BD08A1">
        <w:rPr>
          <w:szCs w:val="18"/>
          <w:lang w:val="es-PY"/>
        </w:rPr>
        <w:t xml:space="preserve"> &lt;</w:t>
      </w:r>
      <w:r w:rsidR="00342142" w:rsidRPr="00342142">
        <w:rPr>
          <w:szCs w:val="18"/>
          <w:lang w:val="es-PY"/>
        </w:rPr>
        <w:t>https://drive.google.com/file/d/1oeI1_Yu3IyiVad0cOMIrNFLGKKfeal7E/view</w:t>
      </w:r>
      <w:r w:rsidRPr="00BD08A1">
        <w:rPr>
          <w:szCs w:val="18"/>
          <w:lang w:val="es-PY"/>
        </w:rPr>
        <w:t xml:space="preserve">&gt; (Consultado el </w:t>
      </w:r>
      <w:r w:rsidR="00F02BCC">
        <w:rPr>
          <w:szCs w:val="18"/>
          <w:lang w:val="es-PY"/>
        </w:rPr>
        <w:t>15</w:t>
      </w:r>
      <w:r w:rsidRPr="00BD08A1">
        <w:rPr>
          <w:szCs w:val="18"/>
          <w:lang w:val="es-PY"/>
        </w:rPr>
        <w:t xml:space="preserve"> de </w:t>
      </w:r>
      <w:r w:rsidR="00F02BCC">
        <w:rPr>
          <w:szCs w:val="18"/>
          <w:lang w:val="es-PY"/>
        </w:rPr>
        <w:t xml:space="preserve">enero </w:t>
      </w:r>
      <w:r w:rsidRPr="00BD08A1">
        <w:rPr>
          <w:szCs w:val="18"/>
          <w:lang w:val="es-PY"/>
        </w:rPr>
        <w:t>de 202</w:t>
      </w:r>
      <w:r w:rsidR="00F02BCC">
        <w:rPr>
          <w:szCs w:val="18"/>
          <w:lang w:val="es-PY"/>
        </w:rPr>
        <w:t>4</w:t>
      </w:r>
      <w:r w:rsidRPr="00BD08A1">
        <w:rPr>
          <w:szCs w:val="18"/>
          <w:lang w:val="es-PY"/>
        </w:rPr>
        <w:t xml:space="preserve">). </w:t>
      </w:r>
    </w:p>
  </w:footnote>
  <w:footnote w:id="6">
    <w:p w14:paraId="7621EE16" w14:textId="5041D4F3" w:rsidR="0090197E" w:rsidRPr="00BD08A1" w:rsidRDefault="0090197E" w:rsidP="00BD08A1">
      <w:pPr>
        <w:pStyle w:val="Textonotapie"/>
        <w:rPr>
          <w:szCs w:val="18"/>
        </w:rPr>
      </w:pPr>
      <w:r w:rsidRPr="00BD08A1">
        <w:rPr>
          <w:rStyle w:val="Refdenotaalpie"/>
          <w:szCs w:val="18"/>
        </w:rPr>
        <w:footnoteRef/>
      </w:r>
      <w:r w:rsidRPr="00BD08A1">
        <w:rPr>
          <w:szCs w:val="18"/>
        </w:rPr>
        <w:t xml:space="preserve"> LDC, artículo 2°, numeral 1. </w:t>
      </w:r>
    </w:p>
  </w:footnote>
  <w:footnote w:id="7">
    <w:p w14:paraId="4A7E2E18" w14:textId="079685F2" w:rsidR="004E0F78" w:rsidRPr="00BD08A1" w:rsidRDefault="004E0F78" w:rsidP="00BD08A1">
      <w:pPr>
        <w:pStyle w:val="Textonotapie"/>
        <w:rPr>
          <w:szCs w:val="18"/>
        </w:rPr>
      </w:pPr>
      <w:r w:rsidRPr="00BD08A1">
        <w:rPr>
          <w:rStyle w:val="Refdenotaalpie"/>
          <w:szCs w:val="18"/>
        </w:rPr>
        <w:footnoteRef/>
      </w:r>
      <w:r w:rsidRPr="00BD08A1">
        <w:rPr>
          <w:szCs w:val="18"/>
        </w:rPr>
        <w:t xml:space="preserve"> L</w:t>
      </w:r>
      <w:r w:rsidR="00B8442A" w:rsidRPr="00BD08A1">
        <w:rPr>
          <w:szCs w:val="18"/>
        </w:rPr>
        <w:t>DC</w:t>
      </w:r>
      <w:r w:rsidRPr="00BD08A1">
        <w:rPr>
          <w:szCs w:val="18"/>
          <w:lang w:val="es-PY"/>
        </w:rPr>
        <w:t>, artículo 61.</w:t>
      </w:r>
    </w:p>
  </w:footnote>
  <w:footnote w:id="8">
    <w:p w14:paraId="028FC2F9" w14:textId="0373A950" w:rsidR="00B731CC" w:rsidRPr="00BD08A1" w:rsidRDefault="00B731CC" w:rsidP="00BD08A1">
      <w:pPr>
        <w:pStyle w:val="Textonotapie"/>
        <w:rPr>
          <w:szCs w:val="18"/>
          <w:lang w:val="es-PY"/>
        </w:rPr>
      </w:pPr>
      <w:r w:rsidRPr="00BD08A1">
        <w:rPr>
          <w:rStyle w:val="Refdenotaalpie"/>
          <w:szCs w:val="18"/>
          <w:lang w:val="es-PY"/>
        </w:rPr>
        <w:footnoteRef/>
      </w:r>
      <w:r w:rsidRPr="00BD08A1">
        <w:rPr>
          <w:szCs w:val="18"/>
          <w:lang w:val="es-PY"/>
        </w:rPr>
        <w:t xml:space="preserve"> Decreto N° 1490/2014, artículo</w:t>
      </w:r>
      <w:r w:rsidR="0006696C" w:rsidRPr="00BD08A1">
        <w:rPr>
          <w:szCs w:val="18"/>
          <w:lang w:val="es-PY"/>
        </w:rPr>
        <w:t>s</w:t>
      </w:r>
      <w:r w:rsidRPr="00BD08A1">
        <w:rPr>
          <w:szCs w:val="18"/>
          <w:lang w:val="es-PY"/>
        </w:rPr>
        <w:t xml:space="preserve"> 77</w:t>
      </w:r>
      <w:r w:rsidR="0006696C" w:rsidRPr="00BD08A1">
        <w:rPr>
          <w:szCs w:val="18"/>
          <w:lang w:val="es-PY"/>
        </w:rPr>
        <w:t xml:space="preserve"> (</w:t>
      </w:r>
      <w:r w:rsidRPr="00BD08A1">
        <w:rPr>
          <w:szCs w:val="18"/>
          <w:lang w:val="es-PY"/>
        </w:rPr>
        <w:t>modificado por el Decreto N° 3488/2020</w:t>
      </w:r>
      <w:r w:rsidR="0006696C" w:rsidRPr="00BD08A1">
        <w:rPr>
          <w:szCs w:val="18"/>
          <w:lang w:val="es-PY"/>
        </w:rPr>
        <w:t>) y 78</w:t>
      </w:r>
      <w:r w:rsidRPr="00BD08A1">
        <w:rPr>
          <w:szCs w:val="18"/>
          <w:lang w:val="es-PY"/>
        </w:rPr>
        <w:t xml:space="preserve">. </w:t>
      </w:r>
    </w:p>
  </w:footnote>
  <w:footnote w:id="9">
    <w:p w14:paraId="60378ECA" w14:textId="77777777" w:rsidR="00B731CC" w:rsidRPr="00BD08A1" w:rsidRDefault="00B731CC" w:rsidP="00BD08A1">
      <w:pPr>
        <w:pStyle w:val="Textonotapie"/>
        <w:rPr>
          <w:szCs w:val="18"/>
          <w:lang w:val="es-PY"/>
        </w:rPr>
      </w:pPr>
      <w:r w:rsidRPr="00BD08A1">
        <w:rPr>
          <w:rStyle w:val="Refdenotaalpie"/>
          <w:szCs w:val="18"/>
          <w:lang w:val="es-PY"/>
        </w:rPr>
        <w:footnoteRef/>
      </w:r>
      <w:r w:rsidRPr="00BD08A1">
        <w:rPr>
          <w:szCs w:val="18"/>
          <w:lang w:val="es-PY"/>
        </w:rPr>
        <w:t xml:space="preserve"> Decreto N° 1490/2014, artículo 79, modificado por el Decreto N° 3488/2020. </w:t>
      </w:r>
    </w:p>
  </w:footnote>
  <w:footnote w:id="10">
    <w:p w14:paraId="3589A0DD" w14:textId="5ADA7767" w:rsidR="00452C6C" w:rsidRPr="00BD08A1" w:rsidRDefault="00452C6C" w:rsidP="00BD08A1">
      <w:pPr>
        <w:pStyle w:val="Textonotapie"/>
        <w:rPr>
          <w:szCs w:val="18"/>
          <w:lang w:val="es-ES"/>
        </w:rPr>
      </w:pPr>
      <w:r w:rsidRPr="00BD08A1">
        <w:rPr>
          <w:rStyle w:val="Refdenotaalpie"/>
          <w:szCs w:val="18"/>
        </w:rPr>
        <w:footnoteRef/>
      </w:r>
      <w:r w:rsidRPr="00BD08A1">
        <w:rPr>
          <w:szCs w:val="18"/>
        </w:rPr>
        <w:t xml:space="preserve"> </w:t>
      </w:r>
      <w:r w:rsidR="00671C2E" w:rsidRPr="00BD08A1">
        <w:rPr>
          <w:szCs w:val="18"/>
          <w:lang w:val="es-PY"/>
        </w:rPr>
        <w:t>Decreto N° 1490/2014, artículo 79, modificado por el Decreto N° 3488/2020</w:t>
      </w:r>
      <w:r w:rsidRPr="00BD08A1">
        <w:rPr>
          <w:szCs w:val="18"/>
          <w:lang w:val="es-ES"/>
        </w:rPr>
        <w:t>.</w:t>
      </w:r>
    </w:p>
  </w:footnote>
  <w:footnote w:id="11">
    <w:p w14:paraId="5EA8A8D7" w14:textId="0D5601B1" w:rsidR="006B2556" w:rsidRPr="00BD08A1" w:rsidRDefault="006B2556" w:rsidP="00BD08A1">
      <w:pPr>
        <w:pStyle w:val="Textonotapie"/>
        <w:rPr>
          <w:szCs w:val="18"/>
        </w:rPr>
      </w:pPr>
      <w:r w:rsidRPr="00BD08A1">
        <w:rPr>
          <w:rStyle w:val="Refdenotaalpie"/>
          <w:szCs w:val="18"/>
        </w:rPr>
        <w:footnoteRef/>
      </w:r>
      <w:r w:rsidRPr="00BD08A1">
        <w:rPr>
          <w:szCs w:val="18"/>
        </w:rPr>
        <w:t xml:space="preserve"> </w:t>
      </w:r>
      <w:r w:rsidR="00B8442A" w:rsidRPr="00BD08A1">
        <w:rPr>
          <w:szCs w:val="18"/>
        </w:rPr>
        <w:t>LDC</w:t>
      </w:r>
      <w:r w:rsidRPr="00BD08A1">
        <w:rPr>
          <w:szCs w:val="18"/>
          <w:lang w:val="es-PY"/>
        </w:rPr>
        <w:t>, artículo 41.</w:t>
      </w:r>
      <w:r w:rsidR="00671C2E" w:rsidRPr="00BD08A1">
        <w:rPr>
          <w:szCs w:val="18"/>
          <w:lang w:val="es-PY"/>
        </w:rPr>
        <w:t xml:space="preserve"> </w:t>
      </w:r>
    </w:p>
  </w:footnote>
  <w:footnote w:id="12">
    <w:p w14:paraId="7B8C912E" w14:textId="46E15291" w:rsidR="001C0BE9" w:rsidRPr="00BD08A1" w:rsidRDefault="001C0BE9" w:rsidP="00BD08A1">
      <w:pPr>
        <w:pStyle w:val="Textonotapie"/>
        <w:rPr>
          <w:szCs w:val="18"/>
        </w:rPr>
      </w:pPr>
      <w:r w:rsidRPr="00BD08A1">
        <w:rPr>
          <w:rStyle w:val="Refdenotaalpie"/>
          <w:szCs w:val="18"/>
        </w:rPr>
        <w:footnoteRef/>
      </w:r>
      <w:r w:rsidRPr="00BD08A1">
        <w:rPr>
          <w:szCs w:val="18"/>
        </w:rPr>
        <w:t xml:space="preserve"> L</w:t>
      </w:r>
      <w:r w:rsidR="00B8442A" w:rsidRPr="00BD08A1">
        <w:rPr>
          <w:szCs w:val="18"/>
        </w:rPr>
        <w:t>DC</w:t>
      </w:r>
      <w:r w:rsidRPr="00BD08A1">
        <w:rPr>
          <w:szCs w:val="18"/>
          <w:lang w:val="es-PY"/>
        </w:rPr>
        <w:t>, artículo 42.</w:t>
      </w:r>
    </w:p>
  </w:footnote>
  <w:footnote w:id="13">
    <w:p w14:paraId="517CDC4B" w14:textId="726E37D3" w:rsidR="003C5488" w:rsidRPr="00BD08A1" w:rsidRDefault="003C5488" w:rsidP="00BD08A1">
      <w:pPr>
        <w:pStyle w:val="Textonotapie"/>
        <w:rPr>
          <w:szCs w:val="18"/>
        </w:rPr>
      </w:pPr>
      <w:r w:rsidRPr="00BD08A1">
        <w:rPr>
          <w:rStyle w:val="Refdenotaalpie"/>
          <w:szCs w:val="18"/>
        </w:rPr>
        <w:footnoteRef/>
      </w:r>
      <w:r w:rsidRPr="00BD08A1">
        <w:rPr>
          <w:szCs w:val="18"/>
        </w:rPr>
        <w:t xml:space="preserve"> </w:t>
      </w:r>
      <w:r w:rsidR="00C10FC2" w:rsidRPr="00BD08A1">
        <w:rPr>
          <w:szCs w:val="18"/>
        </w:rPr>
        <w:t>CNMC</w:t>
      </w:r>
      <w:r w:rsidRPr="00BD08A1">
        <w:rPr>
          <w:szCs w:val="18"/>
        </w:rPr>
        <w:t xml:space="preserve">, </w:t>
      </w:r>
      <w:r w:rsidRPr="00BD08A1">
        <w:rPr>
          <w:i/>
          <w:szCs w:val="18"/>
        </w:rPr>
        <w:t>Introducción a la Defensa de la Competencia</w:t>
      </w:r>
      <w:r w:rsidRPr="00BD08A1">
        <w:rPr>
          <w:szCs w:val="18"/>
        </w:rPr>
        <w:t xml:space="preserve">, Módulo IV, 9ª Edición, p. 12. </w:t>
      </w:r>
    </w:p>
  </w:footnote>
  <w:footnote w:id="14">
    <w:p w14:paraId="3391FFF0" w14:textId="3CE67945" w:rsidR="002B4322" w:rsidRPr="00BD08A1" w:rsidRDefault="002B4322" w:rsidP="00BD08A1">
      <w:pPr>
        <w:pStyle w:val="Textonotapie"/>
        <w:rPr>
          <w:szCs w:val="18"/>
        </w:rPr>
      </w:pPr>
      <w:r w:rsidRPr="00BD08A1">
        <w:rPr>
          <w:rStyle w:val="Refdenotaalpie"/>
          <w:szCs w:val="18"/>
        </w:rPr>
        <w:footnoteRef/>
      </w:r>
      <w:r w:rsidRPr="00BD08A1">
        <w:rPr>
          <w:szCs w:val="18"/>
        </w:rPr>
        <w:t xml:space="preserve"> José Carlos Laguna de Paz, </w:t>
      </w:r>
      <w:r w:rsidRPr="00BD08A1">
        <w:rPr>
          <w:i/>
          <w:iCs/>
          <w:szCs w:val="18"/>
        </w:rPr>
        <w:t>Regulación, externalización de actividades administrativas y autorregulación</w:t>
      </w:r>
      <w:r w:rsidRPr="00BD08A1">
        <w:rPr>
          <w:szCs w:val="18"/>
        </w:rPr>
        <w:t xml:space="preserve">. Revista de Administración Pública, 185 (2011); mayo-agosto. </w:t>
      </w:r>
    </w:p>
  </w:footnote>
  <w:footnote w:id="15">
    <w:p w14:paraId="630F9F09" w14:textId="431D2C50" w:rsidR="002B4322" w:rsidRPr="00BD08A1" w:rsidRDefault="002B4322" w:rsidP="00BD08A1">
      <w:pPr>
        <w:pStyle w:val="Textonotapie"/>
        <w:rPr>
          <w:szCs w:val="18"/>
        </w:rPr>
      </w:pPr>
      <w:r w:rsidRPr="00BD08A1">
        <w:rPr>
          <w:rStyle w:val="Refdenotaalpie"/>
          <w:szCs w:val="18"/>
        </w:rPr>
        <w:footnoteRef/>
      </w:r>
      <w:r w:rsidRPr="00BD08A1">
        <w:rPr>
          <w:szCs w:val="18"/>
        </w:rPr>
        <w:t xml:space="preserve"> Juan José Montero Pascual</w:t>
      </w:r>
      <w:r w:rsidR="00187832" w:rsidRPr="00BD08A1">
        <w:rPr>
          <w:szCs w:val="18"/>
        </w:rPr>
        <w:t>,</w:t>
      </w:r>
      <w:r w:rsidRPr="00BD08A1">
        <w:rPr>
          <w:szCs w:val="18"/>
        </w:rPr>
        <w:t xml:space="preserve"> </w:t>
      </w:r>
      <w:r w:rsidRPr="00BD08A1">
        <w:rPr>
          <w:i/>
          <w:iCs/>
          <w:szCs w:val="18"/>
        </w:rPr>
        <w:t>Regulación económica y Derecho de la competencia. Fundamentos de Regulación y Competencia</w:t>
      </w:r>
      <w:r w:rsidRPr="00BD08A1">
        <w:rPr>
          <w:szCs w:val="18"/>
        </w:rPr>
        <w:t xml:space="preserve">. Gobierno de España e </w:t>
      </w:r>
      <w:proofErr w:type="spellStart"/>
      <w:r w:rsidRPr="00BD08A1">
        <w:rPr>
          <w:szCs w:val="18"/>
        </w:rPr>
        <w:t>Iustel</w:t>
      </w:r>
      <w:proofErr w:type="spellEnd"/>
      <w:r w:rsidRPr="00BD08A1">
        <w:rPr>
          <w:szCs w:val="18"/>
        </w:rPr>
        <w:t xml:space="preserve">, p. </w:t>
      </w:r>
      <w:r w:rsidR="007D40C2" w:rsidRPr="00BD08A1">
        <w:rPr>
          <w:szCs w:val="18"/>
        </w:rPr>
        <w:t>97</w:t>
      </w:r>
      <w:r w:rsidRPr="00BD08A1">
        <w:rPr>
          <w:szCs w:val="18"/>
        </w:rPr>
        <w:t xml:space="preserve">. </w:t>
      </w:r>
    </w:p>
  </w:footnote>
  <w:footnote w:id="16">
    <w:p w14:paraId="5D0F518A" w14:textId="2A1A5374" w:rsidR="00187832" w:rsidRPr="00BD08A1" w:rsidRDefault="00187832" w:rsidP="00BD08A1">
      <w:pPr>
        <w:pStyle w:val="Textonotapie"/>
        <w:rPr>
          <w:szCs w:val="18"/>
        </w:rPr>
      </w:pPr>
      <w:r w:rsidRPr="00BD08A1">
        <w:rPr>
          <w:rStyle w:val="Refdenotaalpie"/>
          <w:szCs w:val="18"/>
        </w:rPr>
        <w:footnoteRef/>
      </w:r>
      <w:r w:rsidRPr="00BD08A1">
        <w:rPr>
          <w:szCs w:val="18"/>
        </w:rPr>
        <w:t xml:space="preserve"> Pablo Ramírez</w:t>
      </w:r>
      <w:r w:rsidR="00AA6960" w:rsidRPr="00BD08A1">
        <w:rPr>
          <w:szCs w:val="18"/>
        </w:rPr>
        <w:t xml:space="preserve"> Ayala</w:t>
      </w:r>
      <w:r w:rsidRPr="00BD08A1">
        <w:rPr>
          <w:szCs w:val="18"/>
        </w:rPr>
        <w:t xml:space="preserve">, </w:t>
      </w:r>
      <w:r w:rsidRPr="00BD08A1">
        <w:rPr>
          <w:i/>
          <w:iCs/>
          <w:szCs w:val="18"/>
        </w:rPr>
        <w:t>La regulación y la competencia en el Paraguay: experiencias en el análisis regulatorio de la Comisión Nacional de la Competencia</w:t>
      </w:r>
      <w:r w:rsidRPr="00BD08A1">
        <w:rPr>
          <w:szCs w:val="18"/>
        </w:rPr>
        <w:t xml:space="preserve">. Comisión Nacional de la Competencia, p. 34. </w:t>
      </w:r>
    </w:p>
  </w:footnote>
  <w:footnote w:id="17">
    <w:p w14:paraId="4A4DDF3B" w14:textId="50820BCD" w:rsidR="0090197E" w:rsidRPr="00BD08A1" w:rsidRDefault="0090197E" w:rsidP="00BD08A1">
      <w:pPr>
        <w:pStyle w:val="Textonotapie"/>
      </w:pPr>
      <w:r w:rsidRPr="00BD08A1">
        <w:rPr>
          <w:rStyle w:val="Refdenotaalpie"/>
          <w:szCs w:val="18"/>
        </w:rPr>
        <w:footnoteRef/>
      </w:r>
      <w:r w:rsidRPr="00BD08A1">
        <w:t xml:space="preserve"> Constitución, artículo 168. </w:t>
      </w:r>
    </w:p>
  </w:footnote>
  <w:footnote w:id="18">
    <w:p w14:paraId="452B09CC" w14:textId="1C4DCCF9" w:rsidR="0090197E" w:rsidRPr="00BD08A1" w:rsidRDefault="0090197E" w:rsidP="00BD08A1">
      <w:pPr>
        <w:pStyle w:val="Textonotapie"/>
        <w:rPr>
          <w:szCs w:val="18"/>
        </w:rPr>
      </w:pPr>
      <w:r w:rsidRPr="00BD08A1">
        <w:rPr>
          <w:rStyle w:val="Refdenotaalpie"/>
          <w:szCs w:val="18"/>
        </w:rPr>
        <w:footnoteRef/>
      </w:r>
      <w:r w:rsidRPr="00BD08A1">
        <w:rPr>
          <w:szCs w:val="18"/>
        </w:rPr>
        <w:t xml:space="preserve"> Constitución, artículo 168. </w:t>
      </w:r>
    </w:p>
  </w:footnote>
  <w:footnote w:id="19">
    <w:p w14:paraId="48750E15" w14:textId="46887708" w:rsidR="00785840" w:rsidRPr="00BD08A1" w:rsidRDefault="00785840" w:rsidP="00BD08A1">
      <w:pPr>
        <w:pStyle w:val="Textonotapie"/>
        <w:rPr>
          <w:szCs w:val="18"/>
          <w:lang w:val="es-PY"/>
        </w:rPr>
      </w:pPr>
      <w:r w:rsidRPr="00BD08A1">
        <w:rPr>
          <w:rStyle w:val="Refdenotaalpie"/>
          <w:szCs w:val="18"/>
        </w:rPr>
        <w:footnoteRef/>
      </w:r>
      <w:r w:rsidRPr="00BD08A1">
        <w:rPr>
          <w:szCs w:val="18"/>
          <w:lang w:val="es-PY"/>
        </w:rPr>
        <w:t xml:space="preserve"> Ley N° </w:t>
      </w:r>
      <w:r w:rsidR="000E704A">
        <w:rPr>
          <w:szCs w:val="18"/>
          <w:lang w:val="es-PY"/>
        </w:rPr>
        <w:t>3966/2010</w:t>
      </w:r>
      <w:r w:rsidRPr="00BD08A1">
        <w:rPr>
          <w:szCs w:val="18"/>
          <w:lang w:val="es-PY"/>
        </w:rPr>
        <w:t xml:space="preserve"> </w:t>
      </w:r>
      <w:r w:rsidRPr="00BD08A1">
        <w:rPr>
          <w:i/>
          <w:iCs/>
          <w:szCs w:val="18"/>
          <w:lang w:val="es-PY"/>
        </w:rPr>
        <w:t>Orgánica Municipal</w:t>
      </w:r>
      <w:r w:rsidRPr="00BD08A1">
        <w:rPr>
          <w:szCs w:val="18"/>
          <w:lang w:val="es-PY"/>
        </w:rPr>
        <w:t xml:space="preserve">, artículo 12, numeral 1. </w:t>
      </w:r>
    </w:p>
  </w:footnote>
  <w:footnote w:id="20">
    <w:p w14:paraId="34E7E6FC" w14:textId="6C93D882" w:rsidR="00BD08A1" w:rsidRPr="00BD08A1" w:rsidRDefault="00BD08A1" w:rsidP="00BD08A1">
      <w:pPr>
        <w:pStyle w:val="Textonotapie"/>
        <w:rPr>
          <w:szCs w:val="18"/>
        </w:rPr>
      </w:pPr>
      <w:r w:rsidRPr="00BD08A1">
        <w:rPr>
          <w:rStyle w:val="Refdenotaalpie"/>
          <w:szCs w:val="18"/>
        </w:rPr>
        <w:footnoteRef/>
      </w:r>
      <w:r w:rsidRPr="00BD08A1">
        <w:rPr>
          <w:szCs w:val="18"/>
        </w:rPr>
        <w:t xml:space="preserve"> </w:t>
      </w:r>
      <w:r w:rsidRPr="00BD08A1">
        <w:rPr>
          <w:szCs w:val="18"/>
          <w:lang w:val="es-PY"/>
        </w:rPr>
        <w:t xml:space="preserve">Ley N° </w:t>
      </w:r>
      <w:r w:rsidR="000E704A">
        <w:rPr>
          <w:szCs w:val="18"/>
          <w:lang w:val="es-PY"/>
        </w:rPr>
        <w:t>3966/2010</w:t>
      </w:r>
      <w:r w:rsidRPr="00BD08A1">
        <w:rPr>
          <w:szCs w:val="18"/>
          <w:lang w:val="es-PY"/>
        </w:rPr>
        <w:t xml:space="preserve"> </w:t>
      </w:r>
      <w:r w:rsidRPr="00BD08A1">
        <w:rPr>
          <w:i/>
          <w:iCs/>
          <w:szCs w:val="18"/>
          <w:lang w:val="es-PY"/>
        </w:rPr>
        <w:t>Orgánica Municipal</w:t>
      </w:r>
      <w:r w:rsidRPr="00BD08A1">
        <w:rPr>
          <w:szCs w:val="18"/>
          <w:lang w:val="es-PY"/>
        </w:rPr>
        <w:t xml:space="preserve">, artículo 12, numeral 2. </w:t>
      </w:r>
    </w:p>
  </w:footnote>
  <w:footnote w:id="21">
    <w:p w14:paraId="5E8FBF7C" w14:textId="5490AD8A" w:rsidR="00BD08A1" w:rsidRDefault="00BD08A1">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3. </w:t>
      </w:r>
    </w:p>
  </w:footnote>
  <w:footnote w:id="22">
    <w:p w14:paraId="241D0CB7" w14:textId="37900F94" w:rsidR="00E16B65" w:rsidRDefault="00E16B65">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4. </w:t>
      </w:r>
    </w:p>
  </w:footnote>
  <w:footnote w:id="23">
    <w:p w14:paraId="327B0A47" w14:textId="57021360" w:rsidR="00E16B65" w:rsidRDefault="00E16B65">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5. </w:t>
      </w:r>
    </w:p>
  </w:footnote>
  <w:footnote w:id="24">
    <w:p w14:paraId="416C4921" w14:textId="05A56942" w:rsidR="00E16B65" w:rsidRDefault="00E16B65">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6. </w:t>
      </w:r>
    </w:p>
  </w:footnote>
  <w:footnote w:id="25">
    <w:p w14:paraId="312CF5A9" w14:textId="31BCB8D4" w:rsidR="00E16B65" w:rsidRDefault="00E16B65">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7. </w:t>
      </w:r>
    </w:p>
  </w:footnote>
  <w:footnote w:id="26">
    <w:p w14:paraId="5BA1AB7A" w14:textId="43EF74D1" w:rsidR="00E16B65" w:rsidRDefault="00E16B65">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8. </w:t>
      </w:r>
    </w:p>
  </w:footnote>
  <w:footnote w:id="27">
    <w:p w14:paraId="0B762EBF" w14:textId="3260B958" w:rsidR="00E16B65" w:rsidRDefault="00E16B65">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9. </w:t>
      </w:r>
    </w:p>
  </w:footnote>
  <w:footnote w:id="28">
    <w:p w14:paraId="4B65D898" w14:textId="4D74E8C5" w:rsidR="00E16B65" w:rsidRDefault="00E16B65">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12, numeral </w:t>
      </w:r>
      <w:r>
        <w:rPr>
          <w:szCs w:val="18"/>
          <w:lang w:val="es-PY"/>
        </w:rPr>
        <w:t xml:space="preserve">11. </w:t>
      </w:r>
    </w:p>
  </w:footnote>
  <w:footnote w:id="29">
    <w:p w14:paraId="658E7326" w14:textId="7AEF5AFC" w:rsidR="00F5107B" w:rsidRDefault="00F5107B">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w:t>
      </w:r>
      <w:r>
        <w:rPr>
          <w:szCs w:val="18"/>
          <w:lang w:val="es-PY"/>
        </w:rPr>
        <w:t xml:space="preserve">15, inciso a. </w:t>
      </w:r>
    </w:p>
  </w:footnote>
  <w:footnote w:id="30">
    <w:p w14:paraId="1F8EB21D" w14:textId="675F1352" w:rsidR="00F5107B" w:rsidRDefault="00F5107B">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xml:space="preserve">, artículo </w:t>
      </w:r>
      <w:r>
        <w:rPr>
          <w:szCs w:val="18"/>
          <w:lang w:val="es-PY"/>
        </w:rPr>
        <w:t xml:space="preserve">15, inciso k. </w:t>
      </w:r>
    </w:p>
  </w:footnote>
  <w:footnote w:id="31">
    <w:p w14:paraId="2141B93C" w14:textId="3B2A7A5A" w:rsidR="00F5107B" w:rsidRDefault="00F5107B">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artículo 1</w:t>
      </w:r>
      <w:r>
        <w:rPr>
          <w:szCs w:val="18"/>
          <w:lang w:val="es-PY"/>
        </w:rPr>
        <w:t xml:space="preserve">3. </w:t>
      </w:r>
    </w:p>
  </w:footnote>
  <w:footnote w:id="32">
    <w:p w14:paraId="5D7F57A2" w14:textId="32B74362" w:rsidR="00F5107B" w:rsidRDefault="00F5107B">
      <w:pPr>
        <w:pStyle w:val="Textonotapie"/>
      </w:pPr>
      <w:r>
        <w:rPr>
          <w:rStyle w:val="Refdenotaalpie"/>
        </w:rPr>
        <w:footnoteRef/>
      </w:r>
      <w:r>
        <w:t xml:space="preserve"> </w:t>
      </w:r>
      <w:r w:rsidRPr="00785840">
        <w:rPr>
          <w:szCs w:val="18"/>
          <w:lang w:val="es-PY"/>
        </w:rPr>
        <w:t xml:space="preserve">Ley N° </w:t>
      </w:r>
      <w:r w:rsidR="000E704A">
        <w:rPr>
          <w:szCs w:val="18"/>
          <w:lang w:val="es-PY"/>
        </w:rPr>
        <w:t>3966/2010</w:t>
      </w:r>
      <w:r w:rsidRPr="00785840">
        <w:rPr>
          <w:szCs w:val="18"/>
          <w:lang w:val="es-PY"/>
        </w:rPr>
        <w:t xml:space="preserve"> </w:t>
      </w:r>
      <w:r w:rsidRPr="00785840">
        <w:rPr>
          <w:i/>
          <w:iCs/>
          <w:szCs w:val="18"/>
          <w:lang w:val="es-PY"/>
        </w:rPr>
        <w:t>Orgánica Municipal</w:t>
      </w:r>
      <w:r w:rsidRPr="00785840">
        <w:rPr>
          <w:szCs w:val="18"/>
          <w:lang w:val="es-PY"/>
        </w:rPr>
        <w:t>, artículo 1</w:t>
      </w:r>
      <w:r>
        <w:rPr>
          <w:szCs w:val="18"/>
          <w:lang w:val="es-PY"/>
        </w:rPr>
        <w:t xml:space="preserve">4. </w:t>
      </w:r>
    </w:p>
  </w:footnote>
  <w:footnote w:id="33">
    <w:p w14:paraId="328FF889" w14:textId="35E57B37" w:rsidR="003F6E01" w:rsidRPr="00BD08A1" w:rsidRDefault="003F6E01" w:rsidP="00BD08A1">
      <w:pPr>
        <w:pStyle w:val="Textonotapie"/>
        <w:rPr>
          <w:szCs w:val="18"/>
        </w:rPr>
      </w:pPr>
      <w:r w:rsidRPr="00BD08A1">
        <w:rPr>
          <w:rStyle w:val="Refdenotaalpie"/>
          <w:szCs w:val="18"/>
        </w:rPr>
        <w:footnoteRef/>
      </w:r>
      <w:r w:rsidRPr="00BD08A1">
        <w:rPr>
          <w:szCs w:val="18"/>
        </w:rPr>
        <w:t xml:space="preserve"> CONACOM, </w:t>
      </w:r>
      <w:r w:rsidRPr="00BD08A1">
        <w:rPr>
          <w:i/>
          <w:iCs/>
          <w:szCs w:val="18"/>
        </w:rPr>
        <w:t xml:space="preserve">Guía para la regulación con criterios de competencia </w:t>
      </w:r>
      <w:r w:rsidRPr="00BD08A1">
        <w:rPr>
          <w:szCs w:val="18"/>
        </w:rPr>
        <w:t>&lt;https://drive.google.com/file/d/1Lca7nllN701sAF10itI3sSV-FzsFNK8C/view&gt; (Consultado el 10 de enero de 2024).</w:t>
      </w:r>
    </w:p>
  </w:footnote>
  <w:footnote w:id="34">
    <w:p w14:paraId="0A3C3946" w14:textId="34AC8BE2" w:rsidR="009F50EC" w:rsidRPr="00BD08A1" w:rsidRDefault="009F50EC" w:rsidP="00BD08A1">
      <w:pPr>
        <w:pStyle w:val="Textonotapie"/>
        <w:rPr>
          <w:szCs w:val="18"/>
        </w:rPr>
      </w:pPr>
      <w:r w:rsidRPr="00BD08A1">
        <w:rPr>
          <w:rStyle w:val="Refdenotaalpie"/>
          <w:szCs w:val="18"/>
        </w:rPr>
        <w:footnoteRef/>
      </w:r>
      <w:r w:rsidRPr="00BD08A1">
        <w:rPr>
          <w:szCs w:val="18"/>
        </w:rPr>
        <w:t xml:space="preserve"> Organización para la Cooperación y el Desarrollo Económicos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pp. 12-13. </w:t>
      </w:r>
    </w:p>
  </w:footnote>
  <w:footnote w:id="35">
    <w:p w14:paraId="153E056E" w14:textId="5DB369FD" w:rsidR="008D45D5" w:rsidRPr="00BD08A1" w:rsidRDefault="008D45D5" w:rsidP="00BD08A1">
      <w:pPr>
        <w:pStyle w:val="Textonotapie"/>
        <w:rPr>
          <w:szCs w:val="18"/>
        </w:rPr>
      </w:pPr>
      <w:r w:rsidRPr="00BD08A1">
        <w:rPr>
          <w:rStyle w:val="Refdenotaalpie"/>
          <w:szCs w:val="18"/>
        </w:rPr>
        <w:footnoteRef/>
      </w:r>
      <w:r w:rsidRPr="00BD08A1">
        <w:rPr>
          <w:szCs w:val="18"/>
        </w:rPr>
        <w:t xml:space="preserve"> Comisión Federal de Competencia Económica (COFECE) de los Estados Unidos Mexicanos,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w:t>
      </w:r>
    </w:p>
  </w:footnote>
  <w:footnote w:id="36">
    <w:p w14:paraId="358AB14A" w14:textId="64AC6B60" w:rsidR="008D45D5" w:rsidRPr="00BD08A1" w:rsidRDefault="008D45D5" w:rsidP="00BD08A1">
      <w:pPr>
        <w:pStyle w:val="Textonotapie"/>
        <w:rPr>
          <w:szCs w:val="18"/>
        </w:rPr>
      </w:pPr>
      <w:r w:rsidRPr="00BD08A1">
        <w:rPr>
          <w:rStyle w:val="Refdenotaalpie"/>
          <w:szCs w:val="18"/>
        </w:rPr>
        <w:footnoteRef/>
      </w:r>
      <w:r w:rsidRPr="00BD08A1">
        <w:rPr>
          <w:szCs w:val="18"/>
        </w:rPr>
        <w:t xml:space="preserve"> Agencia de Defensa de la Competencia de Andalucía del Reino de España, </w:t>
      </w:r>
      <w:r w:rsidRPr="00BD08A1">
        <w:rPr>
          <w:i/>
          <w:iCs/>
          <w:szCs w:val="18"/>
        </w:rPr>
        <w:t>Guía Práctica para la Evaluación de la Competencia</w:t>
      </w:r>
      <w:r w:rsidRPr="00BD08A1">
        <w:rPr>
          <w:szCs w:val="18"/>
        </w:rPr>
        <w:t xml:space="preserve"> &lt;http://www.juntadeandalucia.es/defensacompetencia/sites/all/themes/competencia/files/Gu%C3%ADa%20pr%C3%A1ctica%20para%20la%20Evaluaci%C3%B3n.pdf</w:t>
      </w:r>
      <w:r w:rsidR="00064386" w:rsidRPr="00BD08A1">
        <w:rPr>
          <w:szCs w:val="18"/>
        </w:rPr>
        <w:t xml:space="preserve">&gt; (Consultado el </w:t>
      </w:r>
      <w:r w:rsidR="0081534F">
        <w:rPr>
          <w:szCs w:val="18"/>
        </w:rPr>
        <w:t>15 de enero de 2024</w:t>
      </w:r>
      <w:r w:rsidR="00064386" w:rsidRPr="00BD08A1">
        <w:rPr>
          <w:szCs w:val="18"/>
        </w:rPr>
        <w:t xml:space="preserve">). </w:t>
      </w:r>
    </w:p>
  </w:footnote>
  <w:footnote w:id="37">
    <w:p w14:paraId="79DDF794" w14:textId="2C4556C8" w:rsidR="00064386" w:rsidRPr="00BD08A1" w:rsidRDefault="00064386" w:rsidP="00BD08A1">
      <w:pPr>
        <w:pStyle w:val="Textonotapie"/>
        <w:rPr>
          <w:szCs w:val="18"/>
          <w:lang w:val="en-US"/>
        </w:rPr>
      </w:pPr>
      <w:r w:rsidRPr="00BD08A1">
        <w:rPr>
          <w:rStyle w:val="Refdenotaalpie"/>
          <w:szCs w:val="18"/>
        </w:rPr>
        <w:footnoteRef/>
      </w:r>
      <w:r w:rsidRPr="00BD08A1">
        <w:rPr>
          <w:szCs w:val="18"/>
          <w:lang w:val="en-US"/>
        </w:rPr>
        <w:t xml:space="preserve"> Government of Canada, </w:t>
      </w:r>
      <w:r w:rsidRPr="00BD08A1">
        <w:rPr>
          <w:i/>
          <w:iCs/>
          <w:szCs w:val="18"/>
          <w:lang w:val="en-US"/>
        </w:rPr>
        <w:t>Strengthening Canada’s economy through pro</w:t>
      </w:r>
      <w:r w:rsidRPr="00BD08A1">
        <w:rPr>
          <w:rFonts w:ascii="Cambria Math" w:hAnsi="Cambria Math" w:cs="Cambria Math"/>
          <w:i/>
          <w:iCs/>
          <w:szCs w:val="18"/>
          <w:lang w:val="en-US"/>
        </w:rPr>
        <w:t>‑</w:t>
      </w:r>
      <w:r w:rsidRPr="00BD08A1">
        <w:rPr>
          <w:i/>
          <w:iCs/>
          <w:szCs w:val="18"/>
          <w:lang w:val="en-US"/>
        </w:rPr>
        <w:t>competitive policies: A step-by-step guide to competition assessment</w:t>
      </w:r>
      <w:r w:rsidRPr="00BD08A1">
        <w:rPr>
          <w:szCs w:val="18"/>
          <w:lang w:val="en-US"/>
        </w:rPr>
        <w:t xml:space="preserve"> &lt;https://ised-isde.canada.ca/site/competition-bureau-canada/en/how-we-foster-competition/education-and-outreach/publications/strengthening-canadas-economy-through-pro-competitive-policies#sec04-2-1&gt; (</w:t>
      </w:r>
      <w:proofErr w:type="spellStart"/>
      <w:r w:rsidRPr="00BD08A1">
        <w:rPr>
          <w:szCs w:val="18"/>
          <w:lang w:val="en-US"/>
        </w:rPr>
        <w:t>Consultado</w:t>
      </w:r>
      <w:proofErr w:type="spellEnd"/>
      <w:r w:rsidRPr="00BD08A1">
        <w:rPr>
          <w:szCs w:val="18"/>
          <w:lang w:val="en-US"/>
        </w:rPr>
        <w:t xml:space="preserve"> </w:t>
      </w:r>
      <w:proofErr w:type="spellStart"/>
      <w:r w:rsidRPr="00BD08A1">
        <w:rPr>
          <w:szCs w:val="18"/>
          <w:lang w:val="en-US"/>
        </w:rPr>
        <w:t>el</w:t>
      </w:r>
      <w:proofErr w:type="spellEnd"/>
      <w:r w:rsidRPr="00BD08A1">
        <w:rPr>
          <w:szCs w:val="18"/>
          <w:lang w:val="en-US"/>
        </w:rPr>
        <w:t xml:space="preserve"> </w:t>
      </w:r>
      <w:r w:rsidR="0081534F">
        <w:rPr>
          <w:szCs w:val="18"/>
          <w:lang w:val="en-US"/>
        </w:rPr>
        <w:t xml:space="preserve">15 de </w:t>
      </w:r>
      <w:proofErr w:type="spellStart"/>
      <w:r w:rsidR="0081534F">
        <w:rPr>
          <w:szCs w:val="18"/>
          <w:lang w:val="en-US"/>
        </w:rPr>
        <w:t>enero</w:t>
      </w:r>
      <w:proofErr w:type="spellEnd"/>
      <w:r w:rsidR="0081534F">
        <w:rPr>
          <w:szCs w:val="18"/>
          <w:lang w:val="en-US"/>
        </w:rPr>
        <w:t xml:space="preserve"> de 2024</w:t>
      </w:r>
      <w:r w:rsidRPr="00BD08A1">
        <w:rPr>
          <w:szCs w:val="18"/>
          <w:lang w:val="en-US"/>
        </w:rPr>
        <w:t xml:space="preserve">). </w:t>
      </w:r>
    </w:p>
  </w:footnote>
  <w:footnote w:id="38">
    <w:p w14:paraId="11687993" w14:textId="6E5BF140" w:rsidR="007A074A" w:rsidRPr="00BD08A1" w:rsidRDefault="007A074A"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 13. </w:t>
      </w:r>
    </w:p>
  </w:footnote>
  <w:footnote w:id="39">
    <w:p w14:paraId="4C549210" w14:textId="1FA79675" w:rsidR="000D724C" w:rsidRPr="00BD08A1" w:rsidRDefault="000D724C" w:rsidP="00BD08A1">
      <w:pPr>
        <w:pStyle w:val="Textonotapie"/>
        <w:rPr>
          <w:szCs w:val="18"/>
          <w:lang w:val="es-ES_tradnl"/>
        </w:rPr>
      </w:pPr>
      <w:r w:rsidRPr="00BD08A1">
        <w:rPr>
          <w:rStyle w:val="Refdenotaalpie"/>
          <w:szCs w:val="18"/>
        </w:rPr>
        <w:footnoteRef/>
      </w:r>
      <w:r w:rsidRPr="00BD08A1">
        <w:rPr>
          <w:szCs w:val="18"/>
        </w:rPr>
        <w:t xml:space="preserve"> Cabe observar que, en casos de monopolios regulados, el precio podría ser establecido por el regulador como herramienta de control del riesgo de precios elevados, debido a la falta de incentivos de la única empresa operadora en el mercado.</w:t>
      </w:r>
    </w:p>
  </w:footnote>
  <w:footnote w:id="40">
    <w:p w14:paraId="510EDF9F" w14:textId="2170182F" w:rsidR="000B1630" w:rsidRPr="00BD08A1" w:rsidRDefault="000B1630" w:rsidP="00BD08A1">
      <w:pPr>
        <w:pStyle w:val="Textonotapie"/>
        <w:rPr>
          <w:szCs w:val="18"/>
        </w:rPr>
      </w:pPr>
      <w:r w:rsidRPr="00BD08A1">
        <w:rPr>
          <w:rStyle w:val="Refdenotaalpie"/>
          <w:szCs w:val="18"/>
        </w:rPr>
        <w:footnoteRef/>
      </w:r>
      <w:r w:rsidRPr="00BD08A1">
        <w:rPr>
          <w:szCs w:val="18"/>
        </w:rPr>
        <w:t xml:space="preserve"> OCDE, </w:t>
      </w:r>
      <w:proofErr w:type="spellStart"/>
      <w:r w:rsidRPr="00BD08A1">
        <w:rPr>
          <w:i/>
          <w:iCs/>
          <w:szCs w:val="18"/>
        </w:rPr>
        <w:t>Competition</w:t>
      </w:r>
      <w:proofErr w:type="spellEnd"/>
      <w:r w:rsidRPr="00BD08A1">
        <w:rPr>
          <w:i/>
          <w:iCs/>
          <w:szCs w:val="18"/>
        </w:rPr>
        <w:t xml:space="preserve"> </w:t>
      </w:r>
      <w:proofErr w:type="spellStart"/>
      <w:r w:rsidRPr="00BD08A1">
        <w:rPr>
          <w:i/>
          <w:iCs/>
          <w:szCs w:val="18"/>
        </w:rPr>
        <w:t>Assessment</w:t>
      </w:r>
      <w:proofErr w:type="spellEnd"/>
      <w:r w:rsidRPr="00BD08A1">
        <w:rPr>
          <w:i/>
          <w:iCs/>
          <w:szCs w:val="18"/>
        </w:rPr>
        <w:t xml:space="preserve"> </w:t>
      </w:r>
      <w:proofErr w:type="spellStart"/>
      <w:r w:rsidRPr="00BD08A1">
        <w:rPr>
          <w:i/>
          <w:iCs/>
          <w:szCs w:val="18"/>
        </w:rPr>
        <w:t>Toolkit</w:t>
      </w:r>
      <w:proofErr w:type="spellEnd"/>
      <w:r w:rsidRPr="00BD08A1">
        <w:rPr>
          <w:i/>
          <w:iCs/>
          <w:szCs w:val="18"/>
        </w:rPr>
        <w:t xml:space="preserve">, </w:t>
      </w:r>
      <w:proofErr w:type="spellStart"/>
      <w:r w:rsidRPr="00BD08A1">
        <w:rPr>
          <w:i/>
          <w:iCs/>
          <w:szCs w:val="18"/>
        </w:rPr>
        <w:t>Version</w:t>
      </w:r>
      <w:proofErr w:type="spellEnd"/>
      <w:r w:rsidRPr="00BD08A1">
        <w:rPr>
          <w:i/>
          <w:iCs/>
          <w:szCs w:val="18"/>
        </w:rPr>
        <w:t xml:space="preserve"> 4.0: </w:t>
      </w:r>
      <w:proofErr w:type="spellStart"/>
      <w:r w:rsidRPr="00BD08A1">
        <w:rPr>
          <w:i/>
          <w:iCs/>
          <w:szCs w:val="18"/>
        </w:rPr>
        <w:t>Operational</w:t>
      </w:r>
      <w:proofErr w:type="spellEnd"/>
      <w:r w:rsidRPr="00BD08A1">
        <w:rPr>
          <w:i/>
          <w:iCs/>
          <w:szCs w:val="18"/>
        </w:rPr>
        <w:t xml:space="preserve"> Manual </w:t>
      </w:r>
      <w:r w:rsidRPr="00BD08A1">
        <w:rPr>
          <w:szCs w:val="18"/>
        </w:rPr>
        <w:t xml:space="preserve">&lt;https://www.oecd.org/daf/competition/COMP_Toolkit_Vol.3_ENG_2019.pdf&gt; (Consultado el </w:t>
      </w:r>
      <w:r w:rsidR="0081534F">
        <w:rPr>
          <w:szCs w:val="18"/>
        </w:rPr>
        <w:t>15 de enero de 2024</w:t>
      </w:r>
      <w:r w:rsidRPr="00BD08A1">
        <w:rPr>
          <w:szCs w:val="18"/>
        </w:rPr>
        <w:t xml:space="preserve">), p. 30. </w:t>
      </w:r>
    </w:p>
  </w:footnote>
  <w:footnote w:id="41">
    <w:p w14:paraId="0EDD8186" w14:textId="4E4A8235" w:rsidR="00516654" w:rsidRPr="00BD08A1" w:rsidRDefault="00516654"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12. </w:t>
      </w:r>
    </w:p>
  </w:footnote>
  <w:footnote w:id="42">
    <w:p w14:paraId="5693E44D" w14:textId="016DCD8F" w:rsidR="00516654" w:rsidRPr="00BD08A1" w:rsidRDefault="00516654" w:rsidP="00BD08A1">
      <w:pPr>
        <w:pStyle w:val="Textonotapie"/>
        <w:rPr>
          <w:szCs w:val="18"/>
        </w:rPr>
      </w:pPr>
      <w:r w:rsidRPr="00BD08A1">
        <w:rPr>
          <w:rStyle w:val="Refdenotaalpie"/>
          <w:szCs w:val="18"/>
        </w:rPr>
        <w:footnoteRef/>
      </w:r>
      <w:r w:rsidRPr="00BD08A1">
        <w:rPr>
          <w:szCs w:val="18"/>
        </w:rPr>
        <w:t xml:space="preserve"> Agencia de Defensa de la Competencia de Andalucía del Reino de España, </w:t>
      </w:r>
      <w:r w:rsidRPr="00BD08A1">
        <w:rPr>
          <w:i/>
          <w:iCs/>
          <w:szCs w:val="18"/>
        </w:rPr>
        <w:t>Guía Práctica para la Evaluación de la Competencia</w:t>
      </w:r>
      <w:r w:rsidRPr="00BD08A1">
        <w:rPr>
          <w:szCs w:val="18"/>
        </w:rPr>
        <w:t xml:space="preserve"> &lt;http://www.juntadeandalucia.es/defensacompetencia/sites/all/themes/competencia/files/Gu%C3%ADa%20pr%C3%A1ctica%20para%20la%20Evaluaci%C3%B3n.pdf&gt; (Consultado el </w:t>
      </w:r>
      <w:r w:rsidR="0081534F">
        <w:rPr>
          <w:szCs w:val="18"/>
        </w:rPr>
        <w:t>15 de enero de 2024</w:t>
      </w:r>
      <w:r w:rsidRPr="00BD08A1">
        <w:rPr>
          <w:szCs w:val="18"/>
        </w:rPr>
        <w:t xml:space="preserve">), p. 16. </w:t>
      </w:r>
    </w:p>
  </w:footnote>
  <w:footnote w:id="43">
    <w:p w14:paraId="6CD36113" w14:textId="270F9AC5" w:rsidR="007B3632" w:rsidRPr="00BD08A1" w:rsidRDefault="007B3632"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 xml:space="preserve">Herramientas para la evaluación de la competencia: </w:t>
      </w:r>
      <w:r w:rsidR="00A45258" w:rsidRPr="00BD08A1">
        <w:rPr>
          <w:i/>
          <w:iCs/>
          <w:szCs w:val="18"/>
        </w:rPr>
        <w:t>Guía</w:t>
      </w:r>
      <w:r w:rsidRPr="00BD08A1">
        <w:rPr>
          <w:szCs w:val="18"/>
        </w:rPr>
        <w:t xml:space="preserve"> &lt;</w:t>
      </w:r>
      <w:r w:rsidR="00A45258" w:rsidRPr="00BD08A1">
        <w:rPr>
          <w:szCs w:val="18"/>
        </w:rPr>
        <w:t>https://www.oecd.org/daf/competition/98765433.pdf</w:t>
      </w:r>
      <w:r w:rsidRPr="00BD08A1">
        <w:rPr>
          <w:szCs w:val="18"/>
        </w:rPr>
        <w:t xml:space="preserve">&gt; (Consultado el </w:t>
      </w:r>
      <w:r w:rsidR="0081534F">
        <w:rPr>
          <w:szCs w:val="18"/>
        </w:rPr>
        <w:t>15 de enero de 2024</w:t>
      </w:r>
      <w:r w:rsidRPr="00BD08A1">
        <w:rPr>
          <w:szCs w:val="18"/>
        </w:rPr>
        <w:t xml:space="preserve">), p. </w:t>
      </w:r>
      <w:r w:rsidR="00A45258" w:rsidRPr="00BD08A1">
        <w:rPr>
          <w:szCs w:val="18"/>
        </w:rPr>
        <w:t>45</w:t>
      </w:r>
      <w:r w:rsidRPr="00BD08A1">
        <w:rPr>
          <w:szCs w:val="18"/>
        </w:rPr>
        <w:t xml:space="preserve">. </w:t>
      </w:r>
    </w:p>
  </w:footnote>
  <w:footnote w:id="44">
    <w:p w14:paraId="148D17E6" w14:textId="4698AB57" w:rsidR="00F94C82" w:rsidRPr="00BD08A1" w:rsidRDefault="00F94C82" w:rsidP="00BD08A1">
      <w:pPr>
        <w:pStyle w:val="Textonotapie"/>
        <w:rPr>
          <w:szCs w:val="18"/>
        </w:rPr>
      </w:pPr>
      <w:r w:rsidRPr="00BD08A1">
        <w:rPr>
          <w:rStyle w:val="Refdenotaalpie"/>
          <w:szCs w:val="18"/>
        </w:rPr>
        <w:footnoteRef/>
      </w:r>
      <w:r w:rsidRPr="00BD08A1">
        <w:rPr>
          <w:szCs w:val="18"/>
        </w:rPr>
        <w:t xml:space="preserve"> Se considera prudente distinguir entre dos modelos. En un régimen de licencia, permiso o autorización, la administración pública analiza si el solicitante cumple con los requisitos antes de emitir el acto que habilita a realizar una actividad. En un régimen de registro, la administración pública no puede oponerse a la inscripción de la persona física o jurídica que opera en el mercado y solo interviene con fines estadísticos o de vigilancia, entre otros. </w:t>
      </w:r>
    </w:p>
  </w:footnote>
  <w:footnote w:id="45">
    <w:p w14:paraId="3C9E0E1E" w14:textId="5473CF2B" w:rsidR="00365F5C" w:rsidRPr="00BD08A1" w:rsidRDefault="00365F5C"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12. </w:t>
      </w:r>
    </w:p>
  </w:footnote>
  <w:footnote w:id="46">
    <w:p w14:paraId="07394026" w14:textId="399C8DB6" w:rsidR="00DF5C03" w:rsidRPr="00BD08A1" w:rsidRDefault="00DF5C03" w:rsidP="00BD08A1">
      <w:pPr>
        <w:pStyle w:val="Textonotapie"/>
        <w:rPr>
          <w:szCs w:val="18"/>
          <w:lang w:val="en-US"/>
        </w:rPr>
      </w:pPr>
      <w:r w:rsidRPr="00BD08A1">
        <w:rPr>
          <w:rStyle w:val="Refdenotaalpie"/>
          <w:szCs w:val="18"/>
        </w:rPr>
        <w:footnoteRef/>
      </w:r>
      <w:r w:rsidRPr="00BD08A1">
        <w:rPr>
          <w:szCs w:val="18"/>
          <w:lang w:val="en-US"/>
        </w:rPr>
        <w:t xml:space="preserve"> Government of Canada, </w:t>
      </w:r>
      <w:r w:rsidRPr="00BD08A1">
        <w:rPr>
          <w:i/>
          <w:iCs/>
          <w:szCs w:val="18"/>
          <w:lang w:val="en-US"/>
        </w:rPr>
        <w:t>Strengthening Canada’s economy through pro</w:t>
      </w:r>
      <w:r w:rsidRPr="00BD08A1">
        <w:rPr>
          <w:rFonts w:ascii="Cambria Math" w:hAnsi="Cambria Math" w:cs="Cambria Math"/>
          <w:i/>
          <w:iCs/>
          <w:szCs w:val="18"/>
          <w:lang w:val="en-US"/>
        </w:rPr>
        <w:t>‑</w:t>
      </w:r>
      <w:r w:rsidRPr="00BD08A1">
        <w:rPr>
          <w:i/>
          <w:iCs/>
          <w:szCs w:val="18"/>
          <w:lang w:val="en-US"/>
        </w:rPr>
        <w:t>competitive policies: A step-by-step guide to competition assessment</w:t>
      </w:r>
      <w:r w:rsidRPr="00BD08A1">
        <w:rPr>
          <w:szCs w:val="18"/>
          <w:lang w:val="en-US"/>
        </w:rPr>
        <w:t xml:space="preserve"> &lt;https://ised-isde.canada.ca/site/competition-bureau-canada/en/how-we-foster-competition/education-and-outreach/publications/strengthening-canadas-economy-through-pro-competitive-policies#sec04-2-1&gt; (</w:t>
      </w:r>
      <w:proofErr w:type="spellStart"/>
      <w:r w:rsidRPr="00BD08A1">
        <w:rPr>
          <w:szCs w:val="18"/>
          <w:lang w:val="en-US"/>
        </w:rPr>
        <w:t>Consultado</w:t>
      </w:r>
      <w:proofErr w:type="spellEnd"/>
      <w:r w:rsidRPr="00BD08A1">
        <w:rPr>
          <w:szCs w:val="18"/>
          <w:lang w:val="en-US"/>
        </w:rPr>
        <w:t xml:space="preserve"> </w:t>
      </w:r>
      <w:proofErr w:type="spellStart"/>
      <w:r w:rsidRPr="00BD08A1">
        <w:rPr>
          <w:szCs w:val="18"/>
          <w:lang w:val="en-US"/>
        </w:rPr>
        <w:t>el</w:t>
      </w:r>
      <w:proofErr w:type="spellEnd"/>
      <w:r w:rsidRPr="00BD08A1">
        <w:rPr>
          <w:szCs w:val="18"/>
          <w:lang w:val="en-US"/>
        </w:rPr>
        <w:t xml:space="preserve"> </w:t>
      </w:r>
      <w:r w:rsidR="0081534F">
        <w:rPr>
          <w:szCs w:val="18"/>
          <w:lang w:val="en-US"/>
        </w:rPr>
        <w:t>15</w:t>
      </w:r>
      <w:r w:rsidRPr="00BD08A1">
        <w:rPr>
          <w:szCs w:val="18"/>
          <w:lang w:val="en-US"/>
        </w:rPr>
        <w:t xml:space="preserve"> de </w:t>
      </w:r>
      <w:proofErr w:type="spellStart"/>
      <w:r w:rsidR="0081534F">
        <w:rPr>
          <w:szCs w:val="18"/>
          <w:lang w:val="en-US"/>
        </w:rPr>
        <w:t>enero</w:t>
      </w:r>
      <w:proofErr w:type="spellEnd"/>
      <w:r w:rsidR="0081534F">
        <w:rPr>
          <w:szCs w:val="18"/>
          <w:lang w:val="en-US"/>
        </w:rPr>
        <w:t xml:space="preserve"> </w:t>
      </w:r>
      <w:r w:rsidRPr="00BD08A1">
        <w:rPr>
          <w:szCs w:val="18"/>
          <w:lang w:val="en-US"/>
        </w:rPr>
        <w:t>de 202</w:t>
      </w:r>
      <w:r w:rsidR="0081534F">
        <w:rPr>
          <w:szCs w:val="18"/>
          <w:lang w:val="en-US"/>
        </w:rPr>
        <w:t>4</w:t>
      </w:r>
      <w:r w:rsidRPr="00BD08A1">
        <w:rPr>
          <w:szCs w:val="18"/>
          <w:lang w:val="en-US"/>
        </w:rPr>
        <w:t xml:space="preserve">). </w:t>
      </w:r>
    </w:p>
  </w:footnote>
  <w:footnote w:id="47">
    <w:p w14:paraId="44B25948" w14:textId="02C6B5D0" w:rsidR="009E0EA9" w:rsidRPr="00BD08A1" w:rsidRDefault="009E0EA9" w:rsidP="00BD08A1">
      <w:pPr>
        <w:pStyle w:val="Textonotapie"/>
        <w:rPr>
          <w:szCs w:val="18"/>
          <w:lang w:val="es-ES_tradnl"/>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w:t>
      </w:r>
      <w:r w:rsidRPr="00BD08A1">
        <w:rPr>
          <w:szCs w:val="18"/>
        </w:rPr>
        <w:t xml:space="preserve"> de </w:t>
      </w:r>
      <w:r w:rsidR="0081534F">
        <w:rPr>
          <w:szCs w:val="18"/>
        </w:rPr>
        <w:t xml:space="preserve">enero </w:t>
      </w:r>
      <w:r w:rsidRPr="00BD08A1">
        <w:rPr>
          <w:szCs w:val="18"/>
        </w:rPr>
        <w:t>de 202</w:t>
      </w:r>
      <w:r w:rsidR="0081534F">
        <w:rPr>
          <w:szCs w:val="18"/>
        </w:rPr>
        <w:t>4</w:t>
      </w:r>
      <w:r w:rsidRPr="00BD08A1">
        <w:rPr>
          <w:szCs w:val="18"/>
        </w:rPr>
        <w:t xml:space="preserve">), p. 15. </w:t>
      </w:r>
    </w:p>
  </w:footnote>
  <w:footnote w:id="48">
    <w:p w14:paraId="5318B7FE" w14:textId="66EED1A3" w:rsidR="0038164E" w:rsidRPr="00BD08A1" w:rsidRDefault="0038164E" w:rsidP="00BD08A1">
      <w:pPr>
        <w:pStyle w:val="Textonotapie"/>
        <w:rPr>
          <w:szCs w:val="18"/>
          <w:lang w:val="es-ES_tradnl"/>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15. </w:t>
      </w:r>
    </w:p>
  </w:footnote>
  <w:footnote w:id="49">
    <w:p w14:paraId="720E63BA" w14:textId="0C5A00CD" w:rsidR="00CC732C" w:rsidRPr="00BD08A1" w:rsidRDefault="00CC732C" w:rsidP="00BD08A1">
      <w:pPr>
        <w:pStyle w:val="Textonotapie"/>
        <w:rPr>
          <w:szCs w:val="18"/>
        </w:rPr>
      </w:pPr>
      <w:r w:rsidRPr="00BD08A1">
        <w:rPr>
          <w:rStyle w:val="Refdenotaalpie"/>
          <w:szCs w:val="18"/>
        </w:rPr>
        <w:footnoteRef/>
      </w:r>
      <w:r w:rsidRPr="00BD08A1">
        <w:rPr>
          <w:szCs w:val="18"/>
        </w:rPr>
        <w:t xml:space="preserve"> El apartado 7 de esta Guía recoge resúmenes de estas opiniones. </w:t>
      </w:r>
    </w:p>
  </w:footnote>
  <w:footnote w:id="50">
    <w:p w14:paraId="6DD7EB9C" w14:textId="137F5167" w:rsidR="00CA531E" w:rsidRPr="00BD08A1" w:rsidRDefault="00CA531E"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 16. </w:t>
      </w:r>
    </w:p>
  </w:footnote>
  <w:footnote w:id="51">
    <w:p w14:paraId="64868777" w14:textId="61B22DC5" w:rsidR="009D4382" w:rsidRPr="00BD08A1" w:rsidRDefault="009D4382"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20. </w:t>
      </w:r>
    </w:p>
  </w:footnote>
  <w:footnote w:id="52">
    <w:p w14:paraId="0C1C056B" w14:textId="1AAD11EF" w:rsidR="00D87E4D" w:rsidRPr="00BD08A1" w:rsidRDefault="00D87E4D"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 16. </w:t>
      </w:r>
    </w:p>
  </w:footnote>
  <w:footnote w:id="53">
    <w:p w14:paraId="71F02503" w14:textId="7183926C" w:rsidR="00926301" w:rsidRPr="00BD08A1" w:rsidRDefault="00926301" w:rsidP="00BD08A1">
      <w:pPr>
        <w:pStyle w:val="Textonotapie"/>
        <w:rPr>
          <w:szCs w:val="18"/>
        </w:rPr>
      </w:pPr>
      <w:r w:rsidRPr="00BD08A1">
        <w:rPr>
          <w:rStyle w:val="Refdenotaalpie"/>
          <w:szCs w:val="18"/>
        </w:rPr>
        <w:footnoteRef/>
      </w:r>
      <w:r w:rsidRPr="00BD08A1">
        <w:rPr>
          <w:szCs w:val="18"/>
        </w:rPr>
        <w:t xml:space="preserve"> CONACOM, </w:t>
      </w:r>
      <w:r w:rsidRPr="00BD08A1">
        <w:rPr>
          <w:i/>
          <w:iCs/>
          <w:szCs w:val="18"/>
        </w:rPr>
        <w:t xml:space="preserve">Opinión del Directorio D/09/2022, Proyecto de Ley “Que establece medidas de transparencia y publicidad sobre la estructura de costos y precios de facturación de combustibles” (versión aprobada por la Honorable Cámara de Senadores </w:t>
      </w:r>
      <w:r w:rsidRPr="00BD08A1">
        <w:rPr>
          <w:szCs w:val="18"/>
        </w:rPr>
        <w:t>&lt;https://drive.google.com/file/d/14Yn2L-iHeiaG--0RqDiCkro-izhfI-7I/</w:t>
      </w:r>
      <w:proofErr w:type="spellStart"/>
      <w:r w:rsidRPr="00BD08A1">
        <w:rPr>
          <w:szCs w:val="18"/>
        </w:rPr>
        <w:t>view</w:t>
      </w:r>
      <w:proofErr w:type="spellEnd"/>
      <w:r w:rsidRPr="00BD08A1">
        <w:rPr>
          <w:szCs w:val="18"/>
        </w:rPr>
        <w:t xml:space="preserve">&gt; (Consultado el </w:t>
      </w:r>
      <w:r w:rsidR="0081534F">
        <w:rPr>
          <w:szCs w:val="18"/>
        </w:rPr>
        <w:t>15 de enero de 2024</w:t>
      </w:r>
      <w:r w:rsidRPr="00BD08A1">
        <w:rPr>
          <w:szCs w:val="18"/>
        </w:rPr>
        <w:t xml:space="preserve">). </w:t>
      </w:r>
    </w:p>
  </w:footnote>
  <w:footnote w:id="54">
    <w:p w14:paraId="584CB39A" w14:textId="16C25D02" w:rsidR="00897E45" w:rsidRPr="00BD08A1" w:rsidRDefault="00897E45" w:rsidP="00BD08A1">
      <w:pPr>
        <w:pStyle w:val="Textonotapie"/>
        <w:rPr>
          <w:szCs w:val="18"/>
        </w:rPr>
      </w:pPr>
      <w:r w:rsidRPr="00BD08A1">
        <w:rPr>
          <w:rStyle w:val="Refdenotaalpie"/>
          <w:szCs w:val="18"/>
        </w:rPr>
        <w:footnoteRef/>
      </w:r>
      <w:r w:rsidRPr="00BD08A1">
        <w:rPr>
          <w:szCs w:val="18"/>
        </w:rPr>
        <w:t xml:space="preserve"> CONACOM, </w:t>
      </w:r>
      <w:r w:rsidRPr="00BD08A1">
        <w:rPr>
          <w:i/>
          <w:iCs/>
          <w:szCs w:val="18"/>
          <w:lang w:val="es-ES_tradnl"/>
        </w:rPr>
        <w:t>Opinión del Directorio D/12/2021, Proyecto de ley N° 6822 “De los servicios de confianza para las transacciones electrónicas, del documento electrónico y los documentos transmisibles electrónicos”</w:t>
      </w:r>
      <w:r w:rsidRPr="00BD08A1">
        <w:rPr>
          <w:szCs w:val="18"/>
          <w:lang w:val="es-ES_tradnl"/>
        </w:rPr>
        <w:t xml:space="preserve"> &lt;https://drive.google.com/file/d/1JwP1EpICoSxdAlHrWOqlhPmyJr6P2Y_O/view&gt; (Consultado el </w:t>
      </w:r>
      <w:r w:rsidR="0081534F">
        <w:rPr>
          <w:szCs w:val="18"/>
          <w:lang w:val="es-ES_tradnl"/>
        </w:rPr>
        <w:t>15 de enero de 2024</w:t>
      </w:r>
      <w:r w:rsidRPr="00BD08A1">
        <w:rPr>
          <w:szCs w:val="18"/>
          <w:lang w:val="es-ES_tradnl"/>
        </w:rPr>
        <w:t xml:space="preserve">). </w:t>
      </w:r>
    </w:p>
  </w:footnote>
  <w:footnote w:id="55">
    <w:p w14:paraId="526E3723" w14:textId="1EE90C5B" w:rsidR="00897E45" w:rsidRPr="00BD08A1" w:rsidRDefault="00897E45"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 17-18. </w:t>
      </w:r>
    </w:p>
  </w:footnote>
  <w:footnote w:id="56">
    <w:p w14:paraId="35F03645" w14:textId="256F2ADF" w:rsidR="004454E2" w:rsidRPr="00BD08A1" w:rsidRDefault="004454E2"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19. </w:t>
      </w:r>
    </w:p>
  </w:footnote>
  <w:footnote w:id="57">
    <w:p w14:paraId="2C45A178" w14:textId="51EF0CB4" w:rsidR="00E2445B" w:rsidRPr="00BD08A1" w:rsidRDefault="00E2445B" w:rsidP="00BD08A1">
      <w:pPr>
        <w:pStyle w:val="Textonotapie"/>
        <w:rPr>
          <w:szCs w:val="18"/>
        </w:rPr>
      </w:pPr>
      <w:r w:rsidRPr="00BD08A1">
        <w:rPr>
          <w:rStyle w:val="Refdenotaalpie"/>
          <w:szCs w:val="18"/>
        </w:rPr>
        <w:footnoteRef/>
      </w:r>
      <w:r w:rsidRPr="00BD08A1">
        <w:rPr>
          <w:szCs w:val="18"/>
        </w:rPr>
        <w:t xml:space="preserve"> CONACOM, </w:t>
      </w:r>
      <w:r w:rsidRPr="00B467EE">
        <w:rPr>
          <w:szCs w:val="18"/>
          <w:lang w:val="es-ES_tradnl"/>
        </w:rPr>
        <w:t>Opinión del Directorio D/04/2022</w:t>
      </w:r>
      <w:r w:rsidRPr="00BD08A1">
        <w:rPr>
          <w:i/>
          <w:iCs/>
          <w:szCs w:val="18"/>
          <w:lang w:val="es-ES_tradnl"/>
        </w:rPr>
        <w:t>, Ordenanza N° 34/2019 de la Municipalidad de Capiatá “Que reglamenta la habilitación, permisión y prestación del servicio VTC basado en la plataforma digital dentro del Municipio de Capiatá”</w:t>
      </w:r>
      <w:r w:rsidRPr="00BD08A1">
        <w:rPr>
          <w:szCs w:val="18"/>
          <w:lang w:val="es-ES_tradnl"/>
        </w:rPr>
        <w:t xml:space="preserve"> &lt;</w:t>
      </w:r>
      <w:r w:rsidRPr="00BD08A1">
        <w:rPr>
          <w:szCs w:val="18"/>
        </w:rPr>
        <w:t>https://drive.google.com/file/d/1KUaZFHubekpfUBpa8tjvFKLjzqe7os7f/view</w:t>
      </w:r>
      <w:r w:rsidRPr="00BD08A1">
        <w:rPr>
          <w:szCs w:val="18"/>
          <w:lang w:val="es-ES_tradnl"/>
        </w:rPr>
        <w:t xml:space="preserve">&gt; (Consultado el </w:t>
      </w:r>
      <w:r w:rsidR="0081534F">
        <w:rPr>
          <w:szCs w:val="18"/>
          <w:lang w:val="es-ES_tradnl"/>
        </w:rPr>
        <w:t>15 de enero de 2024</w:t>
      </w:r>
      <w:r w:rsidRPr="00BD08A1">
        <w:rPr>
          <w:szCs w:val="18"/>
          <w:lang w:val="es-ES_tradnl"/>
        </w:rPr>
        <w:t xml:space="preserve">). </w:t>
      </w:r>
    </w:p>
  </w:footnote>
  <w:footnote w:id="58">
    <w:p w14:paraId="5A39CDD3" w14:textId="22F146CE" w:rsidR="00E2445B" w:rsidRPr="00BD08A1" w:rsidRDefault="00E2445B"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19. </w:t>
      </w:r>
    </w:p>
  </w:footnote>
  <w:footnote w:id="59">
    <w:p w14:paraId="369F212B" w14:textId="3CD08210" w:rsidR="004454E2" w:rsidRPr="00BD08A1" w:rsidRDefault="004454E2" w:rsidP="00BD08A1">
      <w:pPr>
        <w:pStyle w:val="Textonotapie"/>
        <w:rPr>
          <w:szCs w:val="18"/>
        </w:rPr>
      </w:pPr>
      <w:r w:rsidRPr="00BD08A1">
        <w:rPr>
          <w:rStyle w:val="Refdenotaalpie"/>
          <w:szCs w:val="18"/>
        </w:rPr>
        <w:footnoteRef/>
      </w:r>
      <w:r w:rsidRPr="00BD08A1">
        <w:rPr>
          <w:szCs w:val="18"/>
        </w:rPr>
        <w:t xml:space="preserve"> </w:t>
      </w:r>
      <w:r w:rsidR="003E7D09" w:rsidRPr="00BD08A1">
        <w:rPr>
          <w:szCs w:val="18"/>
        </w:rPr>
        <w:t xml:space="preserve">COFECE, </w:t>
      </w:r>
      <w:r w:rsidR="003E7D09" w:rsidRPr="00BD08A1">
        <w:rPr>
          <w:i/>
          <w:iCs/>
          <w:szCs w:val="18"/>
        </w:rPr>
        <w:t>Guía para la evaluación de la regulación desde la óptica de competencia</w:t>
      </w:r>
      <w:r w:rsidR="003E7D09" w:rsidRPr="00BD08A1">
        <w:rPr>
          <w:szCs w:val="18"/>
        </w:rPr>
        <w:t xml:space="preserve"> &lt;https://www.cofece.mx/cofece/images/Promocion/Guia_Evaluacion_Regulacion_270516.pdf#pdf&gt; (Consultado el </w:t>
      </w:r>
      <w:r w:rsidR="0081534F">
        <w:rPr>
          <w:szCs w:val="18"/>
        </w:rPr>
        <w:t>15 de enero de 2024</w:t>
      </w:r>
      <w:r w:rsidR="003E7D09" w:rsidRPr="00BD08A1">
        <w:rPr>
          <w:szCs w:val="18"/>
        </w:rPr>
        <w:t xml:space="preserve">), p. 19. </w:t>
      </w:r>
    </w:p>
  </w:footnote>
  <w:footnote w:id="60">
    <w:p w14:paraId="685D388A" w14:textId="5DA07108" w:rsidR="00FE0713" w:rsidRPr="00BD08A1" w:rsidRDefault="00FE0713"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 17. </w:t>
      </w:r>
    </w:p>
  </w:footnote>
  <w:footnote w:id="61">
    <w:p w14:paraId="369741C2" w14:textId="4E1A9BE6" w:rsidR="00530748" w:rsidRPr="00BD08A1" w:rsidRDefault="00530748"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 20. </w:t>
      </w:r>
    </w:p>
  </w:footnote>
  <w:footnote w:id="62">
    <w:p w14:paraId="447C714F" w14:textId="1D77166F" w:rsidR="003E7D09" w:rsidRPr="00BD08A1" w:rsidRDefault="003E7D09"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24. </w:t>
      </w:r>
    </w:p>
  </w:footnote>
  <w:footnote w:id="63">
    <w:p w14:paraId="31C47EF2" w14:textId="4B460212" w:rsidR="003E7D09" w:rsidRPr="00BD08A1" w:rsidRDefault="003E7D09" w:rsidP="00BD08A1">
      <w:pPr>
        <w:pStyle w:val="Textonotapie"/>
        <w:rPr>
          <w:szCs w:val="18"/>
        </w:rPr>
      </w:pPr>
      <w:r w:rsidRPr="00BD08A1">
        <w:rPr>
          <w:rStyle w:val="Refdenotaalpie"/>
          <w:szCs w:val="18"/>
        </w:rPr>
        <w:footnoteRef/>
      </w:r>
      <w:r w:rsidRPr="00BD08A1">
        <w:rPr>
          <w:szCs w:val="18"/>
        </w:rPr>
        <w:t xml:space="preserve"> Agencia de Defensa de la Competencia de Andalucía del Reino de España, </w:t>
      </w:r>
      <w:r w:rsidRPr="00BD08A1">
        <w:rPr>
          <w:i/>
          <w:iCs/>
          <w:szCs w:val="18"/>
        </w:rPr>
        <w:t>Guía Práctica para la Evaluación de la Competencia</w:t>
      </w:r>
      <w:r w:rsidRPr="00BD08A1">
        <w:rPr>
          <w:szCs w:val="18"/>
        </w:rPr>
        <w:t xml:space="preserve"> &lt;http://www.juntadeandalucia.es/defensacompetencia/sites/all/themes/competencia/files/Gu%C3%ADa%20pr%C3%A1ctica%20para%20la%20Evaluaci%C3%B3n.pdf&gt; (Consultado el </w:t>
      </w:r>
      <w:r w:rsidR="0081534F">
        <w:rPr>
          <w:szCs w:val="18"/>
        </w:rPr>
        <w:t>15 de enero de 2024</w:t>
      </w:r>
      <w:r w:rsidRPr="00BD08A1">
        <w:rPr>
          <w:szCs w:val="18"/>
        </w:rPr>
        <w:t xml:space="preserve">), p. 27. </w:t>
      </w:r>
    </w:p>
  </w:footnote>
  <w:footnote w:id="64">
    <w:p w14:paraId="730AA07B" w14:textId="0559D028" w:rsidR="0076757C" w:rsidRPr="00BD08A1" w:rsidRDefault="0076757C"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Guía</w:t>
      </w:r>
      <w:r w:rsidRPr="00BD08A1">
        <w:rPr>
          <w:szCs w:val="18"/>
        </w:rPr>
        <w:t xml:space="preserve"> &lt;https://www.oecd.org/daf/competition/98765433.pdf&gt; (Consultado el </w:t>
      </w:r>
      <w:r w:rsidR="0081534F">
        <w:rPr>
          <w:szCs w:val="18"/>
        </w:rPr>
        <w:t>15 de enero de 2024</w:t>
      </w:r>
      <w:r w:rsidRPr="00BD08A1">
        <w:rPr>
          <w:szCs w:val="18"/>
        </w:rPr>
        <w:t xml:space="preserve">), p. 87. </w:t>
      </w:r>
    </w:p>
  </w:footnote>
  <w:footnote w:id="65">
    <w:p w14:paraId="37F4B8BE" w14:textId="695DD823" w:rsidR="003D3703" w:rsidRPr="00BD08A1" w:rsidRDefault="003D3703" w:rsidP="00BD08A1">
      <w:pPr>
        <w:pStyle w:val="Textonotapie"/>
        <w:rPr>
          <w:szCs w:val="18"/>
        </w:rPr>
      </w:pPr>
      <w:r w:rsidRPr="00BD08A1">
        <w:rPr>
          <w:rStyle w:val="Refdenotaalpie"/>
          <w:szCs w:val="18"/>
        </w:rPr>
        <w:footnoteRef/>
      </w:r>
      <w:r w:rsidRPr="00BD08A1">
        <w:rPr>
          <w:szCs w:val="18"/>
        </w:rPr>
        <w:t xml:space="preserve"> OCDE, </w:t>
      </w:r>
      <w:r w:rsidRPr="00BD08A1">
        <w:rPr>
          <w:i/>
          <w:iCs/>
          <w:szCs w:val="18"/>
        </w:rPr>
        <w:t>Herramientas para la evaluación de la competencia: Principios</w:t>
      </w:r>
      <w:r w:rsidRPr="00BD08A1">
        <w:rPr>
          <w:szCs w:val="18"/>
        </w:rPr>
        <w:t xml:space="preserve"> &lt;https://www.oecd.org/daf/competition/98765432.pdf&gt; (Consultado el </w:t>
      </w:r>
      <w:r w:rsidR="0081534F">
        <w:rPr>
          <w:szCs w:val="18"/>
        </w:rPr>
        <w:t>15 de enero de 2024</w:t>
      </w:r>
      <w:r w:rsidRPr="00BD08A1">
        <w:rPr>
          <w:szCs w:val="18"/>
        </w:rPr>
        <w:t xml:space="preserve">), p. 22. </w:t>
      </w:r>
    </w:p>
  </w:footnote>
  <w:footnote w:id="66">
    <w:p w14:paraId="6E4692C5" w14:textId="4FDDB60B" w:rsidR="003D3703" w:rsidRPr="00BD08A1" w:rsidRDefault="003D3703"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22. </w:t>
      </w:r>
    </w:p>
  </w:footnote>
  <w:footnote w:id="67">
    <w:p w14:paraId="488E6B46" w14:textId="47520EAB" w:rsidR="00C94557" w:rsidRPr="00BD08A1" w:rsidRDefault="00C94557"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23. </w:t>
      </w:r>
    </w:p>
  </w:footnote>
  <w:footnote w:id="68">
    <w:p w14:paraId="56402B7B" w14:textId="4F2949AE" w:rsidR="00620B02" w:rsidRPr="00BD08A1" w:rsidRDefault="00620B02" w:rsidP="00BD08A1">
      <w:pPr>
        <w:spacing w:before="0" w:after="0" w:line="240" w:lineRule="auto"/>
        <w:rPr>
          <w:sz w:val="18"/>
          <w:szCs w:val="18"/>
        </w:rPr>
      </w:pPr>
      <w:r w:rsidRPr="00BD08A1">
        <w:rPr>
          <w:sz w:val="18"/>
          <w:szCs w:val="18"/>
          <w:vertAlign w:val="superscript"/>
        </w:rPr>
        <w:footnoteRef/>
      </w:r>
      <w:r w:rsidRPr="00BD08A1">
        <w:rPr>
          <w:sz w:val="18"/>
          <w:szCs w:val="18"/>
        </w:rPr>
        <w:t xml:space="preserve"> Comisión Nacional de la Competencia</w:t>
      </w:r>
      <w:r w:rsidR="001C6630" w:rsidRPr="00BD08A1">
        <w:rPr>
          <w:sz w:val="18"/>
          <w:szCs w:val="18"/>
        </w:rPr>
        <w:t xml:space="preserve"> (CNC) de España</w:t>
      </w:r>
      <w:r w:rsidRPr="00BD08A1">
        <w:rPr>
          <w:sz w:val="18"/>
          <w:szCs w:val="18"/>
        </w:rPr>
        <w:t xml:space="preserve">, </w:t>
      </w:r>
      <w:r w:rsidRPr="00BD08A1">
        <w:rPr>
          <w:i/>
          <w:sz w:val="18"/>
          <w:szCs w:val="18"/>
        </w:rPr>
        <w:t>Trabajando por la competencia: Recomendaciones a las administraciones públicas para una regulación de los mercados más eficiente y favorecedora de la competencia</w:t>
      </w:r>
      <w:r w:rsidRPr="00BD08A1">
        <w:rPr>
          <w:sz w:val="18"/>
          <w:szCs w:val="18"/>
        </w:rPr>
        <w:t xml:space="preserve"> &lt;https://www.mineco.gob.es/stfls/mineco/economia/ficheros/recomendaciones.pdf&gt; (Consultado el 24 de junio de 2022), pág. 31. </w:t>
      </w:r>
    </w:p>
  </w:footnote>
  <w:footnote w:id="69">
    <w:p w14:paraId="743AD481" w14:textId="648458F2" w:rsidR="001C6630" w:rsidRPr="00BD08A1" w:rsidRDefault="001C6630" w:rsidP="00BD08A1">
      <w:pPr>
        <w:pStyle w:val="Textonotapie"/>
        <w:rPr>
          <w:szCs w:val="18"/>
        </w:rPr>
      </w:pPr>
      <w:r w:rsidRPr="00BD08A1">
        <w:rPr>
          <w:rStyle w:val="Refdenotaalpie"/>
          <w:szCs w:val="18"/>
        </w:rPr>
        <w:footnoteRef/>
      </w:r>
      <w:r w:rsidRPr="00BD08A1">
        <w:rPr>
          <w:szCs w:val="18"/>
        </w:rPr>
        <w:t xml:space="preserve"> CNC, </w:t>
      </w:r>
      <w:r w:rsidRPr="00BD08A1">
        <w:rPr>
          <w:i/>
          <w:szCs w:val="18"/>
        </w:rPr>
        <w:t>Trabajando por la competencia: Recomendaciones a las administraciones públicas para una regulación de los mercados más eficiente y favorecedora de la competencia</w:t>
      </w:r>
      <w:r w:rsidRPr="00BD08A1">
        <w:rPr>
          <w:szCs w:val="18"/>
        </w:rPr>
        <w:t xml:space="preserve"> &lt;https://www.mineco.gob.es/stfls/mineco/economia/ficheros/recomendaciones.pdf&gt; (Consultado el 11 de abril de 2022), p. 30. </w:t>
      </w:r>
    </w:p>
  </w:footnote>
  <w:footnote w:id="70">
    <w:p w14:paraId="32CB0990" w14:textId="1B3B5F41" w:rsidR="00620B02" w:rsidRPr="00BD08A1" w:rsidRDefault="00620B02" w:rsidP="00BD08A1">
      <w:pPr>
        <w:spacing w:before="0" w:after="0" w:line="240" w:lineRule="auto"/>
        <w:rPr>
          <w:sz w:val="18"/>
          <w:szCs w:val="18"/>
        </w:rPr>
      </w:pPr>
      <w:r w:rsidRPr="00BD08A1">
        <w:rPr>
          <w:sz w:val="18"/>
          <w:szCs w:val="18"/>
          <w:vertAlign w:val="superscript"/>
        </w:rPr>
        <w:footnoteRef/>
      </w:r>
      <w:r w:rsidRPr="00BD08A1">
        <w:rPr>
          <w:sz w:val="18"/>
          <w:szCs w:val="18"/>
        </w:rPr>
        <w:t xml:space="preserve"> </w:t>
      </w:r>
      <w:r w:rsidR="00C10FC2" w:rsidRPr="00BD08A1">
        <w:rPr>
          <w:sz w:val="18"/>
          <w:szCs w:val="18"/>
        </w:rPr>
        <w:t>CNMC</w:t>
      </w:r>
      <w:r w:rsidRPr="00BD08A1">
        <w:rPr>
          <w:sz w:val="18"/>
          <w:szCs w:val="18"/>
        </w:rPr>
        <w:t xml:space="preserve">, </w:t>
      </w:r>
      <w:r w:rsidRPr="00BD08A1">
        <w:rPr>
          <w:i/>
          <w:sz w:val="18"/>
          <w:szCs w:val="18"/>
        </w:rPr>
        <w:t>Introducción a la Defensa de la Competencia</w:t>
      </w:r>
      <w:r w:rsidRPr="00BD08A1">
        <w:rPr>
          <w:sz w:val="18"/>
          <w:szCs w:val="18"/>
        </w:rPr>
        <w:t xml:space="preserve">, Módulo IV, 9ª Edición, p. 13. </w:t>
      </w:r>
    </w:p>
  </w:footnote>
  <w:footnote w:id="71">
    <w:p w14:paraId="7FB157A2" w14:textId="6BFD5D04" w:rsidR="00C10FC2" w:rsidRPr="00BD08A1" w:rsidRDefault="00C10FC2" w:rsidP="00BD08A1">
      <w:pPr>
        <w:pStyle w:val="Textonotapie"/>
        <w:rPr>
          <w:szCs w:val="18"/>
        </w:rPr>
      </w:pPr>
      <w:r w:rsidRPr="00BD08A1">
        <w:rPr>
          <w:rStyle w:val="Refdenotaalpie"/>
          <w:szCs w:val="18"/>
        </w:rPr>
        <w:footnoteRef/>
      </w:r>
      <w:r w:rsidRPr="00BD08A1">
        <w:rPr>
          <w:szCs w:val="18"/>
        </w:rPr>
        <w:t xml:space="preserve"> CNMC, </w:t>
      </w:r>
      <w:r w:rsidRPr="00BD08A1">
        <w:rPr>
          <w:i/>
          <w:iCs/>
          <w:szCs w:val="18"/>
        </w:rPr>
        <w:t>Los beneficios de la competencia para los consumidores</w:t>
      </w:r>
      <w:r w:rsidRPr="00BD08A1">
        <w:rPr>
          <w:szCs w:val="18"/>
        </w:rPr>
        <w:t xml:space="preserve"> &lt;https://www.cnmc.es/sites/default/files/3411072_13.pdf&gt; (Consultado el </w:t>
      </w:r>
      <w:r w:rsidR="0081534F">
        <w:rPr>
          <w:szCs w:val="18"/>
        </w:rPr>
        <w:t>15 de enero de 2024</w:t>
      </w:r>
      <w:r w:rsidRPr="00BD08A1">
        <w:rPr>
          <w:szCs w:val="18"/>
        </w:rPr>
        <w:t xml:space="preserve">), p. 33. </w:t>
      </w:r>
    </w:p>
  </w:footnote>
  <w:footnote w:id="72">
    <w:p w14:paraId="5136DF8A" w14:textId="2A83E579" w:rsidR="0068748F" w:rsidRPr="00BD08A1" w:rsidRDefault="0068748F" w:rsidP="00BD08A1">
      <w:pPr>
        <w:pStyle w:val="Textonotapie"/>
        <w:rPr>
          <w:szCs w:val="18"/>
        </w:rPr>
      </w:pPr>
      <w:r w:rsidRPr="00BD08A1">
        <w:rPr>
          <w:rStyle w:val="Refdenotaalpie"/>
          <w:szCs w:val="18"/>
        </w:rPr>
        <w:footnoteRef/>
      </w:r>
      <w:r w:rsidRPr="00BD08A1">
        <w:rPr>
          <w:szCs w:val="18"/>
        </w:rPr>
        <w:t xml:space="preserve"> CNMC, </w:t>
      </w:r>
      <w:r w:rsidRPr="00BD08A1">
        <w:rPr>
          <w:i/>
          <w:iCs/>
          <w:szCs w:val="18"/>
        </w:rPr>
        <w:t>Los beneficios de la competencia para los consumidores</w:t>
      </w:r>
      <w:r w:rsidRPr="00BD08A1">
        <w:rPr>
          <w:szCs w:val="18"/>
        </w:rPr>
        <w:t xml:space="preserve"> &lt;https://www.cnmc.es/sites/default/files/3411072_13.pdf&gt; (Consultado el </w:t>
      </w:r>
      <w:r w:rsidR="0081534F">
        <w:rPr>
          <w:szCs w:val="18"/>
        </w:rPr>
        <w:t>15 de enero de 2024</w:t>
      </w:r>
      <w:r w:rsidRPr="00BD08A1">
        <w:rPr>
          <w:szCs w:val="18"/>
        </w:rPr>
        <w:t>), p. 3</w:t>
      </w:r>
      <w:r w:rsidR="00CD313C" w:rsidRPr="00BD08A1">
        <w:rPr>
          <w:szCs w:val="18"/>
        </w:rPr>
        <w:t>4</w:t>
      </w:r>
      <w:r w:rsidRPr="00BD08A1">
        <w:rPr>
          <w:szCs w:val="18"/>
        </w:rPr>
        <w:t xml:space="preserve">. </w:t>
      </w:r>
    </w:p>
  </w:footnote>
  <w:footnote w:id="73">
    <w:p w14:paraId="7A2D741B" w14:textId="546A11E4" w:rsidR="0068748F" w:rsidRPr="00BD08A1" w:rsidRDefault="0068748F" w:rsidP="00BD08A1">
      <w:pPr>
        <w:pStyle w:val="Textonotapie"/>
        <w:rPr>
          <w:szCs w:val="18"/>
        </w:rPr>
      </w:pPr>
      <w:r w:rsidRPr="00BD08A1">
        <w:rPr>
          <w:rStyle w:val="Refdenotaalpie"/>
          <w:szCs w:val="18"/>
        </w:rPr>
        <w:footnoteRef/>
      </w:r>
      <w:r w:rsidRPr="00BD08A1">
        <w:rPr>
          <w:szCs w:val="18"/>
        </w:rPr>
        <w:t xml:space="preserve"> CNMC, </w:t>
      </w:r>
      <w:r w:rsidRPr="00BD08A1">
        <w:rPr>
          <w:i/>
          <w:szCs w:val="18"/>
        </w:rPr>
        <w:t>Introducción a la Defensa de la Competencia</w:t>
      </w:r>
      <w:r w:rsidRPr="00BD08A1">
        <w:rPr>
          <w:szCs w:val="18"/>
        </w:rPr>
        <w:t xml:space="preserve">, Módulo IV, 9ª Edición, p. 5. </w:t>
      </w:r>
    </w:p>
  </w:footnote>
  <w:footnote w:id="74">
    <w:p w14:paraId="4FC8CDEA" w14:textId="05254E27" w:rsidR="001C0053" w:rsidRPr="00BD08A1" w:rsidRDefault="001C0053" w:rsidP="00BD08A1">
      <w:pPr>
        <w:pStyle w:val="Textonotapie"/>
        <w:rPr>
          <w:szCs w:val="18"/>
        </w:rPr>
      </w:pPr>
      <w:r w:rsidRPr="00BD08A1">
        <w:rPr>
          <w:rStyle w:val="Refdenotaalpie"/>
          <w:szCs w:val="18"/>
        </w:rPr>
        <w:footnoteRef/>
      </w:r>
      <w:r w:rsidRPr="00BD08A1">
        <w:rPr>
          <w:szCs w:val="18"/>
        </w:rPr>
        <w:t xml:space="preserve"> CNMC, </w:t>
      </w:r>
      <w:r w:rsidRPr="00BD08A1">
        <w:rPr>
          <w:i/>
          <w:szCs w:val="18"/>
        </w:rPr>
        <w:t>Introducción a la Defensa de la Competencia</w:t>
      </w:r>
      <w:r w:rsidRPr="00BD08A1">
        <w:rPr>
          <w:szCs w:val="18"/>
        </w:rPr>
        <w:t xml:space="preserve">, Módulo IV, 9ª Edición, p. 5. </w:t>
      </w:r>
    </w:p>
  </w:footnote>
  <w:footnote w:id="75">
    <w:p w14:paraId="39EBB17C" w14:textId="2588A653" w:rsidR="00CD313C" w:rsidRPr="00BD08A1" w:rsidRDefault="00CD313C" w:rsidP="00BD08A1">
      <w:pPr>
        <w:pStyle w:val="Textonotapie"/>
        <w:rPr>
          <w:szCs w:val="18"/>
        </w:rPr>
      </w:pPr>
      <w:r w:rsidRPr="00BD08A1">
        <w:rPr>
          <w:rStyle w:val="Refdenotaalpie"/>
          <w:szCs w:val="18"/>
        </w:rPr>
        <w:footnoteRef/>
      </w:r>
      <w:r w:rsidRPr="00BD08A1">
        <w:rPr>
          <w:szCs w:val="18"/>
        </w:rPr>
        <w:t xml:space="preserve"> CNMC, </w:t>
      </w:r>
      <w:r w:rsidRPr="00BD08A1">
        <w:rPr>
          <w:i/>
          <w:iCs/>
          <w:szCs w:val="18"/>
        </w:rPr>
        <w:t>Los beneficios de la competencia para los consumidores</w:t>
      </w:r>
      <w:r w:rsidRPr="00BD08A1">
        <w:rPr>
          <w:szCs w:val="18"/>
        </w:rPr>
        <w:t xml:space="preserve"> &lt;https://www.cnmc.es/sites/default/files/3411072_13.pdf&gt; (Consultado el </w:t>
      </w:r>
      <w:r w:rsidR="0081534F">
        <w:rPr>
          <w:szCs w:val="18"/>
        </w:rPr>
        <w:t>15 de enero de 2024</w:t>
      </w:r>
      <w:r w:rsidRPr="00BD08A1">
        <w:rPr>
          <w:szCs w:val="18"/>
        </w:rPr>
        <w:t xml:space="preserve">), p. 33. </w:t>
      </w:r>
    </w:p>
  </w:footnote>
  <w:footnote w:id="76">
    <w:p w14:paraId="62B52589" w14:textId="0B0E352B" w:rsidR="00EF0C93" w:rsidRPr="00BD08A1" w:rsidRDefault="00EF0C93" w:rsidP="00BD08A1">
      <w:pPr>
        <w:pStyle w:val="Textonotapie"/>
        <w:rPr>
          <w:szCs w:val="18"/>
          <w:u w:val="single"/>
          <w:lang w:val="es-ES_tradnl"/>
        </w:rPr>
      </w:pPr>
      <w:r w:rsidRPr="00BD08A1">
        <w:rPr>
          <w:rStyle w:val="Refdenotaalpie"/>
          <w:szCs w:val="18"/>
        </w:rPr>
        <w:footnoteRef/>
      </w:r>
      <w:r w:rsidRPr="00BD08A1">
        <w:rPr>
          <w:szCs w:val="18"/>
        </w:rPr>
        <w:t xml:space="preserve"> Aldo González, </w:t>
      </w:r>
      <w:r w:rsidRPr="00BD08A1">
        <w:rPr>
          <w:i/>
          <w:iCs/>
          <w:szCs w:val="18"/>
        </w:rPr>
        <w:t>Desagregación en banda ancha, regulando oligopolios naturales</w:t>
      </w:r>
      <w:r w:rsidRPr="00BD08A1">
        <w:rPr>
          <w:szCs w:val="18"/>
        </w:rPr>
        <w:t xml:space="preserve"> en: </w:t>
      </w:r>
      <w:r w:rsidRPr="00BD08A1">
        <w:rPr>
          <w:szCs w:val="18"/>
          <w:u w:val="single"/>
        </w:rPr>
        <w:t>Series Documentos de Trabajo</w:t>
      </w:r>
      <w:r w:rsidRPr="00BD08A1">
        <w:rPr>
          <w:szCs w:val="18"/>
        </w:rPr>
        <w:t xml:space="preserve"> (N° 231, marzo 2007) &lt;https://repositorio.uchile.cl/bitstream/handle/2250/144553/Desagregacion-en-Banda.pdf?sequence=1&amp;isAllowed=y&gt; (Consultado el </w:t>
      </w:r>
      <w:r w:rsidR="00F02BCC">
        <w:rPr>
          <w:szCs w:val="18"/>
        </w:rPr>
        <w:t xml:space="preserve">15 de enero </w:t>
      </w:r>
      <w:r w:rsidRPr="00BD08A1">
        <w:rPr>
          <w:szCs w:val="18"/>
        </w:rPr>
        <w:t>de 202</w:t>
      </w:r>
      <w:r w:rsidR="00F02BCC">
        <w:rPr>
          <w:szCs w:val="18"/>
        </w:rPr>
        <w:t>4</w:t>
      </w:r>
      <w:r w:rsidRPr="00BD08A1">
        <w:rPr>
          <w:szCs w:val="18"/>
        </w:rPr>
        <w:t xml:space="preserve">). </w:t>
      </w:r>
    </w:p>
  </w:footnote>
  <w:footnote w:id="77">
    <w:p w14:paraId="53888416" w14:textId="2F304A8F" w:rsidR="00C32664" w:rsidRPr="00BD08A1" w:rsidRDefault="00C32664" w:rsidP="00BD08A1">
      <w:pPr>
        <w:pStyle w:val="Textonotapie"/>
        <w:rPr>
          <w:szCs w:val="18"/>
        </w:rPr>
      </w:pPr>
      <w:r w:rsidRPr="00BD08A1">
        <w:rPr>
          <w:rStyle w:val="Refdenotaalpie"/>
          <w:szCs w:val="18"/>
        </w:rPr>
        <w:footnoteRef/>
      </w:r>
      <w:r w:rsidRPr="00BD08A1">
        <w:rPr>
          <w:szCs w:val="18"/>
        </w:rPr>
        <w:t xml:space="preserve"> CONACOM, </w:t>
      </w:r>
      <w:r w:rsidRPr="00BD08A1">
        <w:rPr>
          <w:i/>
          <w:iCs/>
          <w:szCs w:val="18"/>
          <w:lang w:val="es-ES_tradnl"/>
        </w:rPr>
        <w:t>Opinión del Directorio D/02/2022, Ley N° 6900/2022 “Por la cual se implementan medidas transitorias de contingencia para la comercialización del Diesel / Gasoil Tipo III y Nafta 93 octanos por Petróleos Paraguayos, a través de su red de estaciones de servicios habilitadas bajo el emblema ‘PETROPAR’; y se establecen medidas de racionalización del gasto público y otras, orientadas a la eficiencia de los procesos de compra pública para la provisión de combustibles derivados del petróleo”</w:t>
      </w:r>
      <w:r w:rsidRPr="00BD08A1">
        <w:rPr>
          <w:szCs w:val="18"/>
          <w:lang w:val="es-ES_tradnl"/>
        </w:rPr>
        <w:t xml:space="preserve"> &lt;</w:t>
      </w:r>
      <w:r w:rsidRPr="00BD08A1">
        <w:rPr>
          <w:szCs w:val="18"/>
        </w:rPr>
        <w:t>https://drive.google.com/file/d/1nMDF6H7HClet_8FwRcng-o-VtYCsk1DN/view</w:t>
      </w:r>
      <w:r w:rsidRPr="00BD08A1">
        <w:rPr>
          <w:szCs w:val="18"/>
          <w:lang w:val="es-ES_tradnl"/>
        </w:rPr>
        <w:t xml:space="preserve">&gt; (Consultado el </w:t>
      </w:r>
      <w:r w:rsidR="0081534F">
        <w:rPr>
          <w:szCs w:val="18"/>
          <w:lang w:val="es-ES_tradnl"/>
        </w:rPr>
        <w:t>15 de enero de 2024</w:t>
      </w:r>
      <w:r w:rsidRPr="00BD08A1">
        <w:rPr>
          <w:szCs w:val="18"/>
          <w:lang w:val="es-ES_tradnl"/>
        </w:rPr>
        <w:t xml:space="preserve">). </w:t>
      </w:r>
    </w:p>
  </w:footnote>
  <w:footnote w:id="78">
    <w:p w14:paraId="2F07CCB7" w14:textId="459997EB" w:rsidR="001C6630" w:rsidRPr="00BD08A1" w:rsidRDefault="001C6630" w:rsidP="00BD08A1">
      <w:pPr>
        <w:spacing w:before="0" w:after="0" w:line="240" w:lineRule="auto"/>
        <w:rPr>
          <w:sz w:val="18"/>
          <w:szCs w:val="18"/>
        </w:rPr>
      </w:pPr>
      <w:r w:rsidRPr="00BD08A1">
        <w:rPr>
          <w:sz w:val="18"/>
          <w:szCs w:val="18"/>
          <w:vertAlign w:val="superscript"/>
        </w:rPr>
        <w:footnoteRef/>
      </w:r>
      <w:r w:rsidRPr="00BD08A1">
        <w:rPr>
          <w:sz w:val="18"/>
          <w:szCs w:val="18"/>
        </w:rPr>
        <w:t xml:space="preserve"> CNC, </w:t>
      </w:r>
      <w:r w:rsidRPr="00BD08A1">
        <w:rPr>
          <w:i/>
          <w:sz w:val="18"/>
          <w:szCs w:val="18"/>
        </w:rPr>
        <w:t>Trabajando por la competencia: Recomendaciones a las administraciones públicas para una regulación de los mercados más eficiente y favorecedora de la competencia</w:t>
      </w:r>
      <w:r w:rsidRPr="00BD08A1">
        <w:rPr>
          <w:sz w:val="18"/>
          <w:szCs w:val="18"/>
        </w:rPr>
        <w:t xml:space="preserve"> &lt;https://www.mineco.gob.es/stfls/mineco/economia/ficheros/recomendaciones.pdf&gt; (Consultado el 11 de abril de 2022), p. 31. </w:t>
      </w:r>
    </w:p>
  </w:footnote>
  <w:footnote w:id="79">
    <w:p w14:paraId="02071963" w14:textId="35828F6B" w:rsidR="007B1C34" w:rsidRPr="00BD08A1" w:rsidRDefault="007B1C34" w:rsidP="00BD08A1">
      <w:pPr>
        <w:pStyle w:val="Textonotapie"/>
        <w:rPr>
          <w:szCs w:val="18"/>
          <w:lang w:val="en-US"/>
        </w:rPr>
      </w:pPr>
      <w:r w:rsidRPr="00BD08A1">
        <w:rPr>
          <w:rStyle w:val="Refdenotaalpie"/>
          <w:szCs w:val="18"/>
        </w:rPr>
        <w:footnoteRef/>
      </w:r>
      <w:r w:rsidRPr="00BD08A1">
        <w:rPr>
          <w:szCs w:val="18"/>
          <w:lang w:val="en-US"/>
        </w:rPr>
        <w:t xml:space="preserve"> Government of Canada, </w:t>
      </w:r>
      <w:r w:rsidRPr="00BD08A1">
        <w:rPr>
          <w:i/>
          <w:iCs/>
          <w:szCs w:val="18"/>
          <w:lang w:val="en-US"/>
        </w:rPr>
        <w:t>Strengthening Canada’s economy through pro</w:t>
      </w:r>
      <w:r w:rsidRPr="00BD08A1">
        <w:rPr>
          <w:rFonts w:ascii="Cambria Math" w:hAnsi="Cambria Math" w:cs="Cambria Math"/>
          <w:i/>
          <w:iCs/>
          <w:szCs w:val="18"/>
          <w:lang w:val="en-US"/>
        </w:rPr>
        <w:t>‑</w:t>
      </w:r>
      <w:r w:rsidRPr="00BD08A1">
        <w:rPr>
          <w:i/>
          <w:iCs/>
          <w:szCs w:val="18"/>
          <w:lang w:val="en-US"/>
        </w:rPr>
        <w:t>competitive policies: A step-by-step guide to competition assessment</w:t>
      </w:r>
      <w:r w:rsidRPr="00BD08A1">
        <w:rPr>
          <w:szCs w:val="18"/>
          <w:lang w:val="en-US"/>
        </w:rPr>
        <w:t xml:space="preserve"> &lt;https://ised-isde.canada.ca/site/competition-bureau-canada/en/how-we-foster-competition/education-and-outreach/publications/strengthening-canadas-economy-through-pro-competitive-policies#sec04-2-1&gt; (</w:t>
      </w:r>
      <w:proofErr w:type="spellStart"/>
      <w:r w:rsidRPr="00BD08A1">
        <w:rPr>
          <w:szCs w:val="18"/>
          <w:lang w:val="en-US"/>
        </w:rPr>
        <w:t>Consultado</w:t>
      </w:r>
      <w:proofErr w:type="spellEnd"/>
      <w:r w:rsidRPr="00BD08A1">
        <w:rPr>
          <w:szCs w:val="18"/>
          <w:lang w:val="en-US"/>
        </w:rPr>
        <w:t xml:space="preserve"> </w:t>
      </w:r>
      <w:proofErr w:type="spellStart"/>
      <w:r w:rsidRPr="00BD08A1">
        <w:rPr>
          <w:szCs w:val="18"/>
          <w:lang w:val="en-US"/>
        </w:rPr>
        <w:t>el</w:t>
      </w:r>
      <w:proofErr w:type="spellEnd"/>
      <w:r w:rsidRPr="00BD08A1">
        <w:rPr>
          <w:szCs w:val="18"/>
          <w:lang w:val="en-US"/>
        </w:rPr>
        <w:t xml:space="preserve"> </w:t>
      </w:r>
      <w:r w:rsidR="0081534F">
        <w:rPr>
          <w:szCs w:val="18"/>
          <w:lang w:val="en-US"/>
        </w:rPr>
        <w:t xml:space="preserve">15 de </w:t>
      </w:r>
      <w:proofErr w:type="spellStart"/>
      <w:r w:rsidR="0081534F">
        <w:rPr>
          <w:szCs w:val="18"/>
          <w:lang w:val="en-US"/>
        </w:rPr>
        <w:t>enero</w:t>
      </w:r>
      <w:proofErr w:type="spellEnd"/>
      <w:r w:rsidR="0081534F">
        <w:rPr>
          <w:szCs w:val="18"/>
          <w:lang w:val="en-US"/>
        </w:rPr>
        <w:t xml:space="preserve"> de 2024</w:t>
      </w:r>
      <w:r w:rsidRPr="00BD08A1">
        <w:rPr>
          <w:szCs w:val="18"/>
          <w:lang w:val="en-US"/>
        </w:rPr>
        <w:t xml:space="preserve">). </w:t>
      </w:r>
    </w:p>
  </w:footnote>
  <w:footnote w:id="80">
    <w:p w14:paraId="5736C821" w14:textId="77777777" w:rsidR="003D66B4" w:rsidRPr="00BD08A1" w:rsidRDefault="003D66B4" w:rsidP="00BD08A1">
      <w:pPr>
        <w:pStyle w:val="Textonotapie"/>
        <w:rPr>
          <w:szCs w:val="18"/>
        </w:rPr>
      </w:pPr>
      <w:r w:rsidRPr="00BD08A1">
        <w:rPr>
          <w:rStyle w:val="Refdenotaalpie"/>
          <w:szCs w:val="18"/>
        </w:rPr>
        <w:footnoteRef/>
      </w:r>
      <w:r w:rsidRPr="00BD08A1">
        <w:rPr>
          <w:szCs w:val="18"/>
        </w:rPr>
        <w:t xml:space="preserve"> CNMC, </w:t>
      </w:r>
      <w:r w:rsidRPr="00BD08A1">
        <w:rPr>
          <w:i/>
          <w:szCs w:val="18"/>
        </w:rPr>
        <w:t>Introducción a la Defensa de la Competencia</w:t>
      </w:r>
      <w:r w:rsidRPr="00BD08A1">
        <w:rPr>
          <w:szCs w:val="18"/>
        </w:rPr>
        <w:t xml:space="preserve">, Módulo IV, 9ª Edición, p. 14. </w:t>
      </w:r>
    </w:p>
  </w:footnote>
  <w:footnote w:id="81">
    <w:p w14:paraId="393FF9C8" w14:textId="6FEDA66D" w:rsidR="0097061F" w:rsidRPr="00BD08A1" w:rsidRDefault="0097061F" w:rsidP="00BD08A1">
      <w:pPr>
        <w:pStyle w:val="Textonotapie"/>
        <w:rPr>
          <w:szCs w:val="18"/>
        </w:rPr>
      </w:pPr>
      <w:r w:rsidRPr="00BD08A1">
        <w:rPr>
          <w:rStyle w:val="Refdenotaalpie"/>
          <w:szCs w:val="18"/>
        </w:rPr>
        <w:footnoteRef/>
      </w:r>
      <w:r w:rsidRPr="00BD08A1">
        <w:rPr>
          <w:szCs w:val="18"/>
        </w:rPr>
        <w:t xml:space="preserve"> CNMC, </w:t>
      </w:r>
      <w:r w:rsidRPr="00BD08A1">
        <w:rPr>
          <w:i/>
          <w:szCs w:val="18"/>
        </w:rPr>
        <w:t>Introducción a la Defensa de la Competencia</w:t>
      </w:r>
      <w:r w:rsidRPr="00BD08A1">
        <w:rPr>
          <w:szCs w:val="18"/>
        </w:rPr>
        <w:t xml:space="preserve">, Módulo IV, 9ª Edición, p. 13. </w:t>
      </w:r>
    </w:p>
  </w:footnote>
  <w:footnote w:id="82">
    <w:p w14:paraId="1CCD5392" w14:textId="4B6D9B53" w:rsidR="00670209" w:rsidRPr="00BD08A1" w:rsidRDefault="00670209" w:rsidP="00BD08A1">
      <w:pPr>
        <w:pStyle w:val="Textonotapie"/>
        <w:rPr>
          <w:szCs w:val="18"/>
        </w:rPr>
      </w:pPr>
      <w:r w:rsidRPr="00BD08A1">
        <w:rPr>
          <w:rStyle w:val="Refdenotaalpie"/>
          <w:szCs w:val="18"/>
        </w:rPr>
        <w:footnoteRef/>
      </w:r>
      <w:r w:rsidRPr="00BD08A1">
        <w:rPr>
          <w:szCs w:val="18"/>
        </w:rPr>
        <w:t xml:space="preserve"> Reglamento para la elaboración de textos normativos aprobado por el Decreto N° 5252/2016, ítem 9. </w:t>
      </w:r>
    </w:p>
  </w:footnote>
  <w:footnote w:id="83">
    <w:p w14:paraId="7107A9E8" w14:textId="507CDF23" w:rsidR="0097061F" w:rsidRPr="00BD08A1" w:rsidRDefault="0097061F" w:rsidP="00BD08A1">
      <w:pPr>
        <w:pStyle w:val="Textonotapie"/>
        <w:rPr>
          <w:szCs w:val="18"/>
        </w:rPr>
      </w:pPr>
      <w:r w:rsidRPr="00BD08A1">
        <w:rPr>
          <w:rStyle w:val="Refdenotaalpie"/>
          <w:szCs w:val="18"/>
        </w:rPr>
        <w:footnoteRef/>
      </w:r>
      <w:r w:rsidRPr="00BD08A1">
        <w:rPr>
          <w:szCs w:val="18"/>
        </w:rPr>
        <w:t xml:space="preserve"> CNMC, </w:t>
      </w:r>
      <w:r w:rsidRPr="00BD08A1">
        <w:rPr>
          <w:i/>
          <w:szCs w:val="18"/>
        </w:rPr>
        <w:t>Introducción a la Defensa de la Competencia</w:t>
      </w:r>
      <w:r w:rsidRPr="00BD08A1">
        <w:rPr>
          <w:szCs w:val="18"/>
        </w:rPr>
        <w:t>, Módulo IV, 9ª Edición, p. 1</w:t>
      </w:r>
      <w:r w:rsidR="00827558" w:rsidRPr="00BD08A1">
        <w:rPr>
          <w:szCs w:val="18"/>
        </w:rPr>
        <w:t xml:space="preserve">4. </w:t>
      </w:r>
    </w:p>
  </w:footnote>
  <w:footnote w:id="84">
    <w:p w14:paraId="65D932E4" w14:textId="0C9ED694" w:rsidR="00D03847" w:rsidRPr="00BD08A1" w:rsidRDefault="00D03847" w:rsidP="00BD08A1">
      <w:pPr>
        <w:pStyle w:val="Textonotapie"/>
        <w:rPr>
          <w:szCs w:val="18"/>
        </w:rPr>
      </w:pPr>
      <w:r w:rsidRPr="00BD08A1">
        <w:rPr>
          <w:rStyle w:val="Refdenotaalpie"/>
          <w:szCs w:val="18"/>
        </w:rPr>
        <w:footnoteRef/>
      </w:r>
      <w:r w:rsidRPr="00BD08A1">
        <w:rPr>
          <w:szCs w:val="18"/>
        </w:rPr>
        <w:t xml:space="preserve"> </w:t>
      </w:r>
      <w:r w:rsidRPr="00BD08A1">
        <w:rPr>
          <w:szCs w:val="18"/>
          <w:lang w:val="es-PY"/>
        </w:rPr>
        <w:t xml:space="preserve">CONACOM, Opinión D/RD N° 1/2021, Regulación de los servicios de transporte de personas en vehículos contratados por medio de aplicaciones digitales &lt;https://drive.google.com/file/d/1VVSYRpQ_Ix4n-fV4M8FvsmzWlIttY84p/view&gt; (Consultado el </w:t>
      </w:r>
      <w:r w:rsidR="0081534F">
        <w:rPr>
          <w:szCs w:val="18"/>
          <w:lang w:val="es-PY"/>
        </w:rPr>
        <w:t>15 de enero de 2024</w:t>
      </w:r>
      <w:r w:rsidRPr="00BD08A1">
        <w:rPr>
          <w:szCs w:val="18"/>
          <w:lang w:val="es-PY"/>
        </w:rPr>
        <w:t xml:space="preserve">). </w:t>
      </w:r>
    </w:p>
  </w:footnote>
  <w:footnote w:id="85">
    <w:p w14:paraId="3EFBD8D8" w14:textId="111CAD0B" w:rsidR="00D03847" w:rsidRPr="00BD08A1" w:rsidRDefault="00D03847" w:rsidP="00BD08A1">
      <w:pPr>
        <w:pStyle w:val="Textonotapie"/>
        <w:rPr>
          <w:szCs w:val="18"/>
        </w:rPr>
      </w:pPr>
      <w:r w:rsidRPr="00BD08A1">
        <w:rPr>
          <w:rStyle w:val="Refdenotaalpie"/>
          <w:szCs w:val="18"/>
        </w:rPr>
        <w:footnoteRef/>
      </w:r>
      <w:r w:rsidRPr="00BD08A1">
        <w:rPr>
          <w:szCs w:val="18"/>
        </w:rPr>
        <w:t xml:space="preserve"> CNMC, </w:t>
      </w:r>
      <w:r w:rsidRPr="00BD08A1">
        <w:rPr>
          <w:i/>
          <w:szCs w:val="18"/>
        </w:rPr>
        <w:t>Introducción a la Defensa de la Competencia</w:t>
      </w:r>
      <w:r w:rsidRPr="00BD08A1">
        <w:rPr>
          <w:szCs w:val="18"/>
        </w:rPr>
        <w:t xml:space="preserve">, Módulo IV, 9ª Edición, p. 14. </w:t>
      </w:r>
    </w:p>
  </w:footnote>
  <w:footnote w:id="86">
    <w:p w14:paraId="63E89044" w14:textId="5384589A" w:rsidR="00D03847" w:rsidRPr="00BD08A1" w:rsidRDefault="00D03847" w:rsidP="00BD08A1">
      <w:pPr>
        <w:pStyle w:val="Textonotapie"/>
        <w:rPr>
          <w:szCs w:val="18"/>
          <w:lang w:val="en-US"/>
        </w:rPr>
      </w:pPr>
      <w:r w:rsidRPr="00BD08A1">
        <w:rPr>
          <w:rStyle w:val="Refdenotaalpie"/>
          <w:szCs w:val="18"/>
        </w:rPr>
        <w:footnoteRef/>
      </w:r>
      <w:r w:rsidRPr="00BD08A1">
        <w:rPr>
          <w:szCs w:val="18"/>
          <w:lang w:val="en-US"/>
        </w:rPr>
        <w:t xml:space="preserve"> Government of Canada, </w:t>
      </w:r>
      <w:r w:rsidRPr="00BD08A1">
        <w:rPr>
          <w:i/>
          <w:iCs/>
          <w:szCs w:val="18"/>
          <w:lang w:val="en-US"/>
        </w:rPr>
        <w:t>Strengthening Canada’s economy through pro</w:t>
      </w:r>
      <w:r w:rsidRPr="00BD08A1">
        <w:rPr>
          <w:rFonts w:ascii="Cambria Math" w:hAnsi="Cambria Math" w:cs="Cambria Math"/>
          <w:i/>
          <w:iCs/>
          <w:szCs w:val="18"/>
          <w:lang w:val="en-US"/>
        </w:rPr>
        <w:t>‑</w:t>
      </w:r>
      <w:r w:rsidRPr="00BD08A1">
        <w:rPr>
          <w:i/>
          <w:iCs/>
          <w:szCs w:val="18"/>
          <w:lang w:val="en-US"/>
        </w:rPr>
        <w:t>competitive policies: A step-by-step guide to competition assessment</w:t>
      </w:r>
      <w:r w:rsidRPr="00BD08A1">
        <w:rPr>
          <w:szCs w:val="18"/>
          <w:lang w:val="en-US"/>
        </w:rPr>
        <w:t xml:space="preserve"> &lt;https://ised-isde.canada.ca/site/competition-bureau-canada/en/how-we-foster-competition/education-and-outreach/publications/strengthening-canadas-economy-through-pro-competitive-policies#sec04-2-1&gt; (</w:t>
      </w:r>
      <w:proofErr w:type="spellStart"/>
      <w:r w:rsidRPr="00BD08A1">
        <w:rPr>
          <w:szCs w:val="18"/>
          <w:lang w:val="en-US"/>
        </w:rPr>
        <w:t>Consultado</w:t>
      </w:r>
      <w:proofErr w:type="spellEnd"/>
      <w:r w:rsidRPr="00BD08A1">
        <w:rPr>
          <w:szCs w:val="18"/>
          <w:lang w:val="en-US"/>
        </w:rPr>
        <w:t xml:space="preserve"> </w:t>
      </w:r>
      <w:proofErr w:type="spellStart"/>
      <w:r w:rsidRPr="00BD08A1">
        <w:rPr>
          <w:szCs w:val="18"/>
          <w:lang w:val="en-US"/>
        </w:rPr>
        <w:t>el</w:t>
      </w:r>
      <w:proofErr w:type="spellEnd"/>
      <w:r w:rsidRPr="00BD08A1">
        <w:rPr>
          <w:szCs w:val="18"/>
          <w:lang w:val="en-US"/>
        </w:rPr>
        <w:t xml:space="preserve"> </w:t>
      </w:r>
      <w:r w:rsidR="0081534F">
        <w:rPr>
          <w:szCs w:val="18"/>
          <w:lang w:val="en-US"/>
        </w:rPr>
        <w:t xml:space="preserve">15 de </w:t>
      </w:r>
      <w:proofErr w:type="spellStart"/>
      <w:r w:rsidR="0081534F">
        <w:rPr>
          <w:szCs w:val="18"/>
          <w:lang w:val="en-US"/>
        </w:rPr>
        <w:t>enero</w:t>
      </w:r>
      <w:proofErr w:type="spellEnd"/>
      <w:r w:rsidR="0081534F">
        <w:rPr>
          <w:szCs w:val="18"/>
          <w:lang w:val="en-US"/>
        </w:rPr>
        <w:t xml:space="preserve"> de 2024</w:t>
      </w:r>
      <w:r w:rsidRPr="00BD08A1">
        <w:rPr>
          <w:szCs w:val="18"/>
          <w:lang w:val="en-US"/>
        </w:rPr>
        <w:t xml:space="preserve">). </w:t>
      </w:r>
    </w:p>
  </w:footnote>
  <w:footnote w:id="87">
    <w:p w14:paraId="187E8B02" w14:textId="797114FF" w:rsidR="00AD229C" w:rsidRDefault="00AD229C">
      <w:pPr>
        <w:pStyle w:val="Textonotapie"/>
      </w:pPr>
      <w:r>
        <w:rPr>
          <w:rStyle w:val="Refdenotaalpie"/>
        </w:rPr>
        <w:footnoteRef/>
      </w:r>
      <w:r>
        <w:t xml:space="preserve"> </w:t>
      </w:r>
      <w:r w:rsidRPr="00BD08A1">
        <w:rPr>
          <w:szCs w:val="18"/>
          <w:lang w:val="es-PY"/>
        </w:rPr>
        <w:t xml:space="preserve">CONACOM, Opinión D/RD N° 1/2021, Regulación de los servicios de transporte de personas en vehículos contratados por medio de aplicaciones digitales &lt;https://drive.google.com/file/d/1VVSYRpQ_Ix4n-fV4M8FvsmzWlIttY84p/view&gt; (Consultado el </w:t>
      </w:r>
      <w:r>
        <w:rPr>
          <w:szCs w:val="18"/>
          <w:lang w:val="es-PY"/>
        </w:rPr>
        <w:t>19</w:t>
      </w:r>
      <w:r w:rsidRPr="00BD08A1">
        <w:rPr>
          <w:szCs w:val="18"/>
          <w:lang w:val="es-PY"/>
        </w:rPr>
        <w:t xml:space="preserve"> de </w:t>
      </w:r>
      <w:r>
        <w:rPr>
          <w:szCs w:val="18"/>
          <w:lang w:val="es-PY"/>
        </w:rPr>
        <w:t xml:space="preserve">enero </w:t>
      </w:r>
      <w:r w:rsidRPr="00BD08A1">
        <w:rPr>
          <w:szCs w:val="18"/>
          <w:lang w:val="es-PY"/>
        </w:rPr>
        <w:t>de 202</w:t>
      </w:r>
      <w:r>
        <w:rPr>
          <w:szCs w:val="18"/>
          <w:lang w:val="es-PY"/>
        </w:rPr>
        <w:t>4</w:t>
      </w:r>
      <w:r w:rsidRPr="00BD08A1">
        <w:rPr>
          <w:szCs w:val="18"/>
          <w:lang w:val="es-PY"/>
        </w:rPr>
        <w:t>).</w:t>
      </w:r>
      <w:r>
        <w:rPr>
          <w:szCs w:val="18"/>
          <w:lang w:val="es-PY"/>
        </w:rPr>
        <w:t xml:space="preserve"> </w:t>
      </w:r>
    </w:p>
  </w:footnote>
  <w:footnote w:id="88">
    <w:p w14:paraId="61AB0EBB" w14:textId="33A75828" w:rsidR="00AD229C" w:rsidRDefault="00AD229C">
      <w:pPr>
        <w:pStyle w:val="Textonotapie"/>
      </w:pPr>
      <w:r>
        <w:rPr>
          <w:rStyle w:val="Refdenotaalpie"/>
        </w:rPr>
        <w:footnoteRef/>
      </w:r>
      <w:r>
        <w:t xml:space="preserve"> </w:t>
      </w:r>
      <w:r w:rsidRPr="00BD08A1">
        <w:rPr>
          <w:szCs w:val="18"/>
          <w:lang w:val="es-PY"/>
        </w:rPr>
        <w:t>CONACOM, Opinión D/</w:t>
      </w:r>
      <w:r>
        <w:rPr>
          <w:szCs w:val="18"/>
          <w:lang w:val="es-PY"/>
        </w:rPr>
        <w:t>0</w:t>
      </w:r>
      <w:r w:rsidRPr="00BD08A1">
        <w:rPr>
          <w:szCs w:val="18"/>
          <w:lang w:val="es-PY"/>
        </w:rPr>
        <w:t xml:space="preserve">1/2021, </w:t>
      </w:r>
      <w:r w:rsidRPr="00F55F37">
        <w:rPr>
          <w:i/>
          <w:iCs/>
          <w:szCs w:val="18"/>
          <w:lang w:val="es-PY"/>
        </w:rPr>
        <w:t>Ordenanza N° 326/2021</w:t>
      </w:r>
      <w:r>
        <w:rPr>
          <w:i/>
          <w:iCs/>
          <w:szCs w:val="18"/>
          <w:lang w:val="es-PY"/>
        </w:rPr>
        <w:t xml:space="preserve"> “Que establece la provisión, manipuleo, almacenamiento de combustibles, líquidos y gaseosos, así como el funcionamiento de los locales, destinados a su comercialización y actividades afines</w:t>
      </w:r>
      <w:r w:rsidRPr="00BD08A1">
        <w:rPr>
          <w:szCs w:val="18"/>
          <w:lang w:val="es-PY"/>
        </w:rPr>
        <w:t xml:space="preserve"> &lt;</w:t>
      </w:r>
      <w:r w:rsidRPr="00F55F37">
        <w:rPr>
          <w:szCs w:val="18"/>
          <w:lang w:val="es-PY"/>
        </w:rPr>
        <w:t>https://drive.google.com/file/d/1ML1FtuFdReN6Xr-eZPgOLzqQFWjk_2fj/view</w:t>
      </w:r>
      <w:r w:rsidRPr="00BD08A1">
        <w:rPr>
          <w:szCs w:val="18"/>
          <w:lang w:val="es-PY"/>
        </w:rPr>
        <w:t xml:space="preserve">&gt; (Consultado el </w:t>
      </w:r>
      <w:r>
        <w:rPr>
          <w:szCs w:val="18"/>
          <w:lang w:val="es-PY"/>
        </w:rPr>
        <w:t xml:space="preserve">22 </w:t>
      </w:r>
      <w:r w:rsidRPr="00BD08A1">
        <w:rPr>
          <w:szCs w:val="18"/>
          <w:lang w:val="es-PY"/>
        </w:rPr>
        <w:t xml:space="preserve">de </w:t>
      </w:r>
      <w:r>
        <w:rPr>
          <w:szCs w:val="18"/>
          <w:lang w:val="es-PY"/>
        </w:rPr>
        <w:t xml:space="preserve">enero </w:t>
      </w:r>
      <w:r w:rsidRPr="00BD08A1">
        <w:rPr>
          <w:szCs w:val="18"/>
          <w:lang w:val="es-PY"/>
        </w:rPr>
        <w:t>de 202</w:t>
      </w:r>
      <w:r>
        <w:rPr>
          <w:szCs w:val="18"/>
          <w:lang w:val="es-PY"/>
        </w:rPr>
        <w:t>4</w:t>
      </w:r>
      <w:r w:rsidRPr="00BD08A1">
        <w:rPr>
          <w:szCs w:val="18"/>
          <w:lang w:val="es-PY"/>
        </w:rPr>
        <w:t>).</w:t>
      </w:r>
      <w:r>
        <w:rPr>
          <w:szCs w:val="18"/>
          <w:lang w:val="es-PY"/>
        </w:rPr>
        <w:t xml:space="preserve"> </w:t>
      </w:r>
    </w:p>
  </w:footnote>
  <w:footnote w:id="89">
    <w:p w14:paraId="6FE9A9FA" w14:textId="0543AE9F" w:rsidR="00AD229C" w:rsidRDefault="00AD229C">
      <w:pPr>
        <w:pStyle w:val="Textonotapie"/>
      </w:pPr>
      <w:r>
        <w:rPr>
          <w:rStyle w:val="Refdenotaalpie"/>
        </w:rPr>
        <w:footnoteRef/>
      </w:r>
      <w:r>
        <w:t xml:space="preserve"> </w:t>
      </w:r>
      <w:r w:rsidRPr="00BD08A1">
        <w:rPr>
          <w:szCs w:val="18"/>
        </w:rPr>
        <w:t xml:space="preserve">CONACOM, </w:t>
      </w:r>
      <w:r w:rsidRPr="00B467EE">
        <w:rPr>
          <w:szCs w:val="18"/>
          <w:lang w:val="es-ES_tradnl"/>
        </w:rPr>
        <w:t>Opinión del Directorio D/04/2022</w:t>
      </w:r>
      <w:r w:rsidRPr="00BD08A1">
        <w:rPr>
          <w:i/>
          <w:iCs/>
          <w:szCs w:val="18"/>
          <w:lang w:val="es-ES_tradnl"/>
        </w:rPr>
        <w:t>, Ordenanza N° 34/2019 de la Municipalidad de Capiatá “Que reglamenta la habilitación, permisión y prestación del servicio VTC basado en la plataforma digital dentro del Municipio de Capiatá”</w:t>
      </w:r>
      <w:r w:rsidRPr="00BD08A1">
        <w:rPr>
          <w:szCs w:val="18"/>
          <w:lang w:val="es-ES_tradnl"/>
        </w:rPr>
        <w:t xml:space="preserve"> &lt;</w:t>
      </w:r>
      <w:r w:rsidRPr="00BD08A1">
        <w:rPr>
          <w:szCs w:val="18"/>
        </w:rPr>
        <w:t>https://drive.google.com/file/d/1KUaZFHubekpfUBpa8tjvFKLjzqe7os7f/view</w:t>
      </w:r>
      <w:r w:rsidRPr="00BD08A1">
        <w:rPr>
          <w:szCs w:val="18"/>
          <w:lang w:val="es-ES_tradnl"/>
        </w:rPr>
        <w:t xml:space="preserve">&gt; (Consultado el </w:t>
      </w:r>
      <w:r>
        <w:rPr>
          <w:szCs w:val="18"/>
          <w:lang w:val="es-ES_tradnl"/>
        </w:rPr>
        <w:t xml:space="preserve">19 de enero </w:t>
      </w:r>
      <w:r w:rsidRPr="00BD08A1">
        <w:rPr>
          <w:szCs w:val="18"/>
          <w:lang w:val="es-ES_tradnl"/>
        </w:rPr>
        <w:t>de 202</w:t>
      </w:r>
      <w:r>
        <w:rPr>
          <w:szCs w:val="18"/>
          <w:lang w:val="es-ES_tradnl"/>
        </w:rPr>
        <w:t>4</w:t>
      </w:r>
      <w:r w:rsidRPr="00BD08A1">
        <w:rPr>
          <w:szCs w:val="18"/>
          <w:lang w:val="es-ES_tradnl"/>
        </w:rPr>
        <w:t>).</w:t>
      </w:r>
      <w:r>
        <w:rPr>
          <w:szCs w:val="18"/>
          <w:lang w:val="es-ES_tradnl"/>
        </w:rPr>
        <w:t xml:space="preserve"> </w:t>
      </w:r>
    </w:p>
  </w:footnote>
  <w:footnote w:id="90">
    <w:p w14:paraId="03311323" w14:textId="3A20058A" w:rsidR="00AD229C" w:rsidRDefault="00AD229C">
      <w:pPr>
        <w:pStyle w:val="Textonotapie"/>
      </w:pPr>
      <w:r>
        <w:rPr>
          <w:rStyle w:val="Refdenotaalpie"/>
        </w:rPr>
        <w:footnoteRef/>
      </w:r>
      <w:r>
        <w:t xml:space="preserve"> </w:t>
      </w:r>
      <w:r w:rsidRPr="00BD08A1">
        <w:rPr>
          <w:szCs w:val="18"/>
          <w:lang w:val="es-PY"/>
        </w:rPr>
        <w:t xml:space="preserve">CONACOM, Opinión </w:t>
      </w:r>
      <w:r>
        <w:rPr>
          <w:szCs w:val="18"/>
          <w:lang w:val="es-PY"/>
        </w:rPr>
        <w:t xml:space="preserve">del Directorio </w:t>
      </w:r>
      <w:r w:rsidRPr="00BD08A1">
        <w:rPr>
          <w:szCs w:val="18"/>
          <w:lang w:val="es-PY"/>
        </w:rPr>
        <w:t>D/</w:t>
      </w:r>
      <w:r>
        <w:rPr>
          <w:szCs w:val="18"/>
          <w:lang w:val="es-PY"/>
        </w:rPr>
        <w:t>0</w:t>
      </w:r>
      <w:r w:rsidRPr="00BD08A1">
        <w:rPr>
          <w:szCs w:val="18"/>
          <w:lang w:val="es-PY"/>
        </w:rPr>
        <w:t>1/20</w:t>
      </w:r>
      <w:r>
        <w:rPr>
          <w:szCs w:val="18"/>
          <w:lang w:val="es-PY"/>
        </w:rPr>
        <w:t>24</w:t>
      </w:r>
      <w:r w:rsidRPr="00BD08A1">
        <w:rPr>
          <w:szCs w:val="18"/>
          <w:lang w:val="es-PY"/>
        </w:rPr>
        <w:t xml:space="preserve">, </w:t>
      </w:r>
      <w:r>
        <w:rPr>
          <w:szCs w:val="18"/>
          <w:lang w:val="es-PY"/>
        </w:rPr>
        <w:t xml:space="preserve">Sector de desinfección, desinsectación y desratización </w:t>
      </w:r>
      <w:r w:rsidRPr="00BD08A1">
        <w:rPr>
          <w:szCs w:val="18"/>
          <w:lang w:val="es-PY"/>
        </w:rPr>
        <w:t>&lt;</w:t>
      </w:r>
      <w:r w:rsidR="002C36A8" w:rsidRPr="002C36A8">
        <w:rPr>
          <w:szCs w:val="18"/>
          <w:lang w:val="es-PY"/>
        </w:rPr>
        <w:t>https://drive.google.com/file/d/1Mx9JKCSUhDqDM5DAIiZxRjZKfIWWLpyH/view</w:t>
      </w:r>
      <w:r w:rsidRPr="00BD08A1">
        <w:rPr>
          <w:szCs w:val="18"/>
          <w:lang w:val="es-PY"/>
        </w:rPr>
        <w:t xml:space="preserve">&gt; (Consultado el </w:t>
      </w:r>
      <w:r w:rsidR="00342142">
        <w:rPr>
          <w:szCs w:val="18"/>
          <w:lang w:val="es-PY"/>
        </w:rPr>
        <w:t xml:space="preserve">21 de febrero </w:t>
      </w:r>
      <w:r w:rsidRPr="00BD08A1">
        <w:rPr>
          <w:szCs w:val="18"/>
          <w:lang w:val="es-PY"/>
        </w:rPr>
        <w:t>de 202</w:t>
      </w:r>
      <w:r>
        <w:rPr>
          <w:szCs w:val="18"/>
          <w:lang w:val="es-PY"/>
        </w:rPr>
        <w:t>4</w:t>
      </w:r>
      <w:r w:rsidRPr="00BD08A1">
        <w:rPr>
          <w:szCs w:val="18"/>
          <w:lang w:val="es-PY"/>
        </w:rPr>
        <w:t>)</w:t>
      </w:r>
      <w:r>
        <w:rPr>
          <w:szCs w:val="18"/>
          <w:lang w:val="es-PY"/>
        </w:rPr>
        <w:t>.</w:t>
      </w:r>
    </w:p>
  </w:footnote>
  <w:footnote w:id="91">
    <w:p w14:paraId="61E5A05E" w14:textId="225F0DF6" w:rsidR="00CD4E7E" w:rsidRPr="00BD08A1" w:rsidRDefault="00CD4E7E" w:rsidP="00BD08A1">
      <w:pPr>
        <w:pStyle w:val="Textonotapie"/>
        <w:rPr>
          <w:szCs w:val="18"/>
        </w:rPr>
      </w:pPr>
      <w:r w:rsidRPr="00BD08A1">
        <w:rPr>
          <w:rStyle w:val="Refdenotaalpie"/>
          <w:szCs w:val="18"/>
        </w:rPr>
        <w:footnoteRef/>
      </w:r>
      <w:r w:rsidRPr="00BD08A1">
        <w:rPr>
          <w:szCs w:val="18"/>
        </w:rPr>
        <w:t xml:space="preserve"> CONACOM, </w:t>
      </w:r>
      <w:r w:rsidR="00342142">
        <w:rPr>
          <w:i/>
          <w:iCs/>
          <w:szCs w:val="18"/>
        </w:rPr>
        <w:t xml:space="preserve">Análisis regulatorio </w:t>
      </w:r>
      <w:r w:rsidRPr="00BD08A1">
        <w:rPr>
          <w:szCs w:val="18"/>
        </w:rPr>
        <w:t>&lt;https://www.conacom.gov.py/</w:t>
      </w:r>
      <w:r w:rsidR="00342142">
        <w:rPr>
          <w:szCs w:val="18"/>
        </w:rPr>
        <w:t>opiniones</w:t>
      </w:r>
      <w:r w:rsidRPr="00BD08A1">
        <w:rPr>
          <w:szCs w:val="18"/>
        </w:rPr>
        <w:t xml:space="preserve">&gt; (Consultado el </w:t>
      </w:r>
      <w:r w:rsidR="0080526A">
        <w:rPr>
          <w:szCs w:val="18"/>
        </w:rPr>
        <w:t>1</w:t>
      </w:r>
      <w:r w:rsidRPr="00BD08A1">
        <w:rPr>
          <w:szCs w:val="18"/>
        </w:rPr>
        <w:t xml:space="preserve">9 de </w:t>
      </w:r>
      <w:r w:rsidR="0080526A">
        <w:rPr>
          <w:szCs w:val="18"/>
        </w:rPr>
        <w:t xml:space="preserve">enero </w:t>
      </w:r>
      <w:r w:rsidRPr="00BD08A1">
        <w:rPr>
          <w:szCs w:val="18"/>
        </w:rPr>
        <w:t>de 202</w:t>
      </w:r>
      <w:r w:rsidR="0080526A">
        <w:rPr>
          <w:szCs w:val="18"/>
        </w:rPr>
        <w:t>4</w:t>
      </w:r>
      <w:r w:rsidRPr="00BD08A1">
        <w:rPr>
          <w:szCs w:val="18"/>
        </w:rPr>
        <w:t xml:space="preserve">). </w:t>
      </w:r>
    </w:p>
  </w:footnote>
  <w:footnote w:id="92">
    <w:p w14:paraId="4534A760" w14:textId="4ED0464A" w:rsidR="0080526A" w:rsidRDefault="0080526A">
      <w:pPr>
        <w:pStyle w:val="Textonotapie"/>
      </w:pPr>
      <w:r>
        <w:rPr>
          <w:rStyle w:val="Refdenotaalpie"/>
        </w:rPr>
        <w:footnoteRef/>
      </w:r>
      <w:r>
        <w:t xml:space="preserve"> </w:t>
      </w:r>
      <w:r w:rsidRPr="00BD08A1">
        <w:rPr>
          <w:szCs w:val="18"/>
          <w:lang w:val="es-PY"/>
        </w:rPr>
        <w:t xml:space="preserve">CONACOM, Opinión </w:t>
      </w:r>
      <w:r>
        <w:rPr>
          <w:szCs w:val="18"/>
          <w:lang w:val="es-PY"/>
        </w:rPr>
        <w:t xml:space="preserve">del Directorio </w:t>
      </w:r>
      <w:r w:rsidRPr="00BD08A1">
        <w:rPr>
          <w:szCs w:val="18"/>
          <w:lang w:val="es-PY"/>
        </w:rPr>
        <w:t>D/</w:t>
      </w:r>
      <w:r>
        <w:rPr>
          <w:szCs w:val="18"/>
          <w:lang w:val="es-PY"/>
        </w:rPr>
        <w:t>0</w:t>
      </w:r>
      <w:r w:rsidRPr="00BD08A1">
        <w:rPr>
          <w:szCs w:val="18"/>
          <w:lang w:val="es-PY"/>
        </w:rPr>
        <w:t>1/20</w:t>
      </w:r>
      <w:r>
        <w:rPr>
          <w:szCs w:val="18"/>
          <w:lang w:val="es-PY"/>
        </w:rPr>
        <w:t>24</w:t>
      </w:r>
      <w:r w:rsidRPr="00BD08A1">
        <w:rPr>
          <w:szCs w:val="18"/>
          <w:lang w:val="es-PY"/>
        </w:rPr>
        <w:t xml:space="preserve">, </w:t>
      </w:r>
      <w:r>
        <w:rPr>
          <w:szCs w:val="18"/>
          <w:lang w:val="es-PY"/>
        </w:rPr>
        <w:t xml:space="preserve">Sector de desinfección, desinsectación y desratización </w:t>
      </w:r>
      <w:r w:rsidRPr="00BD08A1">
        <w:rPr>
          <w:szCs w:val="18"/>
          <w:lang w:val="es-PY"/>
        </w:rPr>
        <w:t>&lt;</w:t>
      </w:r>
      <w:r w:rsidR="00342142" w:rsidRPr="002C36A8">
        <w:rPr>
          <w:szCs w:val="18"/>
          <w:lang w:val="es-PY"/>
        </w:rPr>
        <w:t>https://drive.google.com/file/d/1Mx9JKCSUhDqDM5DAIiZxRjZKfIWWLpyH/view</w:t>
      </w:r>
      <w:r w:rsidR="00342142" w:rsidRPr="00BD08A1">
        <w:rPr>
          <w:szCs w:val="18"/>
          <w:lang w:val="es-PY"/>
        </w:rPr>
        <w:t xml:space="preserve">&gt; (Consultado el </w:t>
      </w:r>
      <w:r w:rsidR="00342142">
        <w:rPr>
          <w:szCs w:val="18"/>
          <w:lang w:val="es-PY"/>
        </w:rPr>
        <w:t xml:space="preserve">21 de febrero </w:t>
      </w:r>
      <w:r w:rsidR="00342142" w:rsidRPr="00BD08A1">
        <w:rPr>
          <w:szCs w:val="18"/>
          <w:lang w:val="es-PY"/>
        </w:rPr>
        <w:t>de 202</w:t>
      </w:r>
      <w:r w:rsidR="00342142">
        <w:rPr>
          <w:szCs w:val="18"/>
          <w:lang w:val="es-PY"/>
        </w:rPr>
        <w:t>4</w:t>
      </w:r>
      <w:r w:rsidRPr="00BD08A1">
        <w:rPr>
          <w:szCs w:val="18"/>
          <w:lang w:val="es-PY"/>
        </w:rPr>
        <w:t>)</w:t>
      </w:r>
      <w:r w:rsidR="00AD229C">
        <w:rPr>
          <w:szCs w:val="18"/>
          <w:lang w:val="es-PY"/>
        </w:rPr>
        <w:t xml:space="preserve">. </w:t>
      </w:r>
    </w:p>
  </w:footnote>
  <w:footnote w:id="93">
    <w:p w14:paraId="7DD5E8C9" w14:textId="60CE95A0" w:rsidR="0080526A" w:rsidRDefault="0080526A">
      <w:pPr>
        <w:pStyle w:val="Textonotapie"/>
      </w:pPr>
      <w:r>
        <w:rPr>
          <w:rStyle w:val="Refdenotaalpie"/>
        </w:rPr>
        <w:footnoteRef/>
      </w:r>
      <w:r>
        <w:t xml:space="preserve"> </w:t>
      </w:r>
      <w:r w:rsidRPr="00BD08A1">
        <w:rPr>
          <w:szCs w:val="18"/>
          <w:lang w:val="es-PY"/>
        </w:rPr>
        <w:t xml:space="preserve">CONACOM, Opinión D/RD N° 1/2021, Regulación de los servicios de transporte de personas en vehículos contratados por medio de aplicaciones digitales &lt;https://drive.google.com/file/d/1VVSYRpQ_Ix4n-fV4M8FvsmzWlIttY84p/view&gt; (Consultado el </w:t>
      </w:r>
      <w:r>
        <w:rPr>
          <w:szCs w:val="18"/>
          <w:lang w:val="es-PY"/>
        </w:rPr>
        <w:t>19</w:t>
      </w:r>
      <w:r w:rsidRPr="00BD08A1">
        <w:rPr>
          <w:szCs w:val="18"/>
          <w:lang w:val="es-PY"/>
        </w:rPr>
        <w:t xml:space="preserve"> de </w:t>
      </w:r>
      <w:r>
        <w:rPr>
          <w:szCs w:val="18"/>
          <w:lang w:val="es-PY"/>
        </w:rPr>
        <w:t xml:space="preserve">enero </w:t>
      </w:r>
      <w:r w:rsidRPr="00BD08A1">
        <w:rPr>
          <w:szCs w:val="18"/>
          <w:lang w:val="es-PY"/>
        </w:rPr>
        <w:t>de 202</w:t>
      </w:r>
      <w:r>
        <w:rPr>
          <w:szCs w:val="18"/>
          <w:lang w:val="es-PY"/>
        </w:rPr>
        <w:t>4</w:t>
      </w:r>
      <w:r w:rsidRPr="00BD08A1">
        <w:rPr>
          <w:szCs w:val="18"/>
          <w:lang w:val="es-PY"/>
        </w:rPr>
        <w:t>).</w:t>
      </w:r>
      <w:r>
        <w:rPr>
          <w:szCs w:val="18"/>
          <w:lang w:val="es-PY"/>
        </w:rPr>
        <w:t xml:space="preserve"> </w:t>
      </w:r>
    </w:p>
  </w:footnote>
  <w:footnote w:id="94">
    <w:p w14:paraId="60F155FD" w14:textId="4F952ED6" w:rsidR="00AD229C" w:rsidRDefault="00AD229C">
      <w:pPr>
        <w:pStyle w:val="Textonotapie"/>
      </w:pPr>
      <w:r>
        <w:rPr>
          <w:rStyle w:val="Refdenotaalpie"/>
        </w:rPr>
        <w:footnoteRef/>
      </w:r>
      <w:r>
        <w:t xml:space="preserve"> </w:t>
      </w:r>
      <w:r w:rsidRPr="00BD08A1">
        <w:rPr>
          <w:szCs w:val="18"/>
          <w:lang w:val="es-PY"/>
        </w:rPr>
        <w:t xml:space="preserve">CONACOM, Opinión D/RD N° 1/2021, Regulación de los servicios de transporte de personas en vehículos contratados por medio de aplicaciones digitales &lt;https://drive.google.com/file/d/1VVSYRpQ_Ix4n-fV4M8FvsmzWlIttY84p/view&gt; (Consultado el </w:t>
      </w:r>
      <w:r>
        <w:rPr>
          <w:szCs w:val="18"/>
          <w:lang w:val="es-PY"/>
        </w:rPr>
        <w:t>19</w:t>
      </w:r>
      <w:r w:rsidRPr="00BD08A1">
        <w:rPr>
          <w:szCs w:val="18"/>
          <w:lang w:val="es-PY"/>
        </w:rPr>
        <w:t xml:space="preserve"> de </w:t>
      </w:r>
      <w:r>
        <w:rPr>
          <w:szCs w:val="18"/>
          <w:lang w:val="es-PY"/>
        </w:rPr>
        <w:t xml:space="preserve">enero </w:t>
      </w:r>
      <w:r w:rsidRPr="00BD08A1">
        <w:rPr>
          <w:szCs w:val="18"/>
          <w:lang w:val="es-PY"/>
        </w:rPr>
        <w:t>de 202</w:t>
      </w:r>
      <w:r>
        <w:rPr>
          <w:szCs w:val="18"/>
          <w:lang w:val="es-PY"/>
        </w:rPr>
        <w:t>4</w:t>
      </w:r>
      <w:r w:rsidRPr="00BD08A1">
        <w:rPr>
          <w:szCs w:val="18"/>
          <w:lang w:val="es-PY"/>
        </w:rPr>
        <w:t>).</w:t>
      </w:r>
      <w:r>
        <w:rPr>
          <w:szCs w:val="18"/>
          <w:lang w:val="es-PY"/>
        </w:rPr>
        <w:t xml:space="preserve"> </w:t>
      </w:r>
    </w:p>
  </w:footnote>
  <w:footnote w:id="95">
    <w:p w14:paraId="62C781E6" w14:textId="664F3B48" w:rsidR="00B467EE" w:rsidRDefault="00B467EE">
      <w:pPr>
        <w:pStyle w:val="Textonotapie"/>
      </w:pPr>
      <w:r>
        <w:rPr>
          <w:rStyle w:val="Refdenotaalpie"/>
        </w:rPr>
        <w:footnoteRef/>
      </w:r>
      <w:r>
        <w:t xml:space="preserve"> </w:t>
      </w:r>
      <w:r w:rsidRPr="00BD08A1">
        <w:rPr>
          <w:szCs w:val="18"/>
        </w:rPr>
        <w:t xml:space="preserve">CONACOM, </w:t>
      </w:r>
      <w:r w:rsidRPr="00B467EE">
        <w:rPr>
          <w:szCs w:val="18"/>
          <w:lang w:val="es-ES_tradnl"/>
        </w:rPr>
        <w:t>Opinión del Directorio D/04/2022</w:t>
      </w:r>
      <w:r w:rsidRPr="00BD08A1">
        <w:rPr>
          <w:i/>
          <w:iCs/>
          <w:szCs w:val="18"/>
          <w:lang w:val="es-ES_tradnl"/>
        </w:rPr>
        <w:t>, Ordenanza N° 34/2019 de la Municipalidad de Capiatá “Que reglamenta la habilitación, permisión y prestación del servicio VTC basado en la plataforma digital dentro del Municipio de Capiatá”</w:t>
      </w:r>
      <w:r w:rsidRPr="00BD08A1">
        <w:rPr>
          <w:szCs w:val="18"/>
          <w:lang w:val="es-ES_tradnl"/>
        </w:rPr>
        <w:t xml:space="preserve"> &lt;</w:t>
      </w:r>
      <w:r w:rsidRPr="00BD08A1">
        <w:rPr>
          <w:szCs w:val="18"/>
        </w:rPr>
        <w:t>https://drive.google.com/file/d/1KUaZFHubekpfUBpa8tjvFKLjzqe7os7f/view</w:t>
      </w:r>
      <w:r w:rsidRPr="00BD08A1">
        <w:rPr>
          <w:szCs w:val="18"/>
          <w:lang w:val="es-ES_tradnl"/>
        </w:rPr>
        <w:t xml:space="preserve">&gt; (Consultado el </w:t>
      </w:r>
      <w:r>
        <w:rPr>
          <w:szCs w:val="18"/>
          <w:lang w:val="es-ES_tradnl"/>
        </w:rPr>
        <w:t xml:space="preserve">19 de enero </w:t>
      </w:r>
      <w:r w:rsidRPr="00BD08A1">
        <w:rPr>
          <w:szCs w:val="18"/>
          <w:lang w:val="es-ES_tradnl"/>
        </w:rPr>
        <w:t>de 202</w:t>
      </w:r>
      <w:r>
        <w:rPr>
          <w:szCs w:val="18"/>
          <w:lang w:val="es-ES_tradnl"/>
        </w:rPr>
        <w:t>4</w:t>
      </w:r>
      <w:r w:rsidRPr="00BD08A1">
        <w:rPr>
          <w:szCs w:val="18"/>
          <w:lang w:val="es-ES_tradnl"/>
        </w:rPr>
        <w:t>).</w:t>
      </w:r>
      <w:r>
        <w:rPr>
          <w:szCs w:val="18"/>
          <w:lang w:val="es-ES_tradnl"/>
        </w:rPr>
        <w:t xml:space="preserve"> </w:t>
      </w:r>
    </w:p>
  </w:footnote>
  <w:footnote w:id="96">
    <w:p w14:paraId="7797A381" w14:textId="7CA7CA80" w:rsidR="00ED65C6" w:rsidRPr="00BD08A1" w:rsidRDefault="00ED65C6" w:rsidP="00BD08A1">
      <w:pPr>
        <w:pStyle w:val="Textonotapie"/>
        <w:rPr>
          <w:szCs w:val="18"/>
          <w:lang w:val="es-PY"/>
        </w:rPr>
      </w:pPr>
      <w:r w:rsidRPr="00BD08A1">
        <w:rPr>
          <w:rStyle w:val="Refdenotaalpie"/>
          <w:szCs w:val="18"/>
        </w:rPr>
        <w:footnoteRef/>
      </w:r>
      <w:r w:rsidRPr="00BD08A1">
        <w:rPr>
          <w:szCs w:val="18"/>
          <w:lang w:val="es-PY"/>
        </w:rPr>
        <w:t xml:space="preserve"> CONACOM, Opinión D/RD N° 1/2021, Regulación de los servicios de transporte de personas en vehículos contratados por medio de aplicaciones digitales &lt;https://drive.google.com/file/d/1VVSYRpQ_Ix4n-fV4M8FvsmzWlIttY84p/view&gt; (Consultado el </w:t>
      </w:r>
      <w:r w:rsidR="0081534F">
        <w:rPr>
          <w:szCs w:val="18"/>
          <w:lang w:val="es-PY"/>
        </w:rPr>
        <w:t>15 de enero de 2024</w:t>
      </w:r>
      <w:r w:rsidRPr="00BD08A1">
        <w:rPr>
          <w:szCs w:val="18"/>
          <w:lang w:val="es-PY"/>
        </w:rPr>
        <w:t xml:space="preserve">). </w:t>
      </w:r>
    </w:p>
  </w:footnote>
  <w:footnote w:id="97">
    <w:p w14:paraId="089AB194" w14:textId="660B7FBB" w:rsidR="00045240" w:rsidRPr="00BD08A1" w:rsidRDefault="00045240" w:rsidP="00BD08A1">
      <w:pPr>
        <w:pStyle w:val="Textonotapie"/>
        <w:rPr>
          <w:szCs w:val="18"/>
          <w:lang w:val="es-PY"/>
        </w:rPr>
      </w:pPr>
      <w:r w:rsidRPr="00BD08A1">
        <w:rPr>
          <w:rStyle w:val="Refdenotaalpie"/>
          <w:szCs w:val="18"/>
        </w:rPr>
        <w:footnoteRef/>
      </w:r>
      <w:r w:rsidRPr="00BD08A1">
        <w:rPr>
          <w:szCs w:val="18"/>
          <w:lang w:val="es-PY"/>
        </w:rPr>
        <w:t xml:space="preserve"> Última Hora, </w:t>
      </w:r>
      <w:r w:rsidRPr="00BD08A1">
        <w:rPr>
          <w:i/>
          <w:iCs/>
          <w:szCs w:val="18"/>
          <w:lang w:val="es-PY"/>
        </w:rPr>
        <w:t xml:space="preserve">Quedan sin efecto las restricciones de circulación para MUV y Uber en el Este </w:t>
      </w:r>
      <w:r w:rsidRPr="00BD08A1">
        <w:rPr>
          <w:szCs w:val="18"/>
          <w:lang w:val="es-PY"/>
        </w:rPr>
        <w:t xml:space="preserve">(24 de febrero de 2021) &lt;https://www.ultimahora.com/quedan-efecto-las-restricciones-circulacion-muv-y-uber-el-este-n2928982.html&gt; (Consultado el </w:t>
      </w:r>
      <w:r w:rsidR="0081534F">
        <w:rPr>
          <w:szCs w:val="18"/>
          <w:lang w:val="es-PY"/>
        </w:rPr>
        <w:t>15 de enero de 2024</w:t>
      </w:r>
      <w:r w:rsidRPr="00BD08A1">
        <w:rPr>
          <w:szCs w:val="18"/>
          <w:lang w:val="es-PY"/>
        </w:rPr>
        <w:t xml:space="preserve">). </w:t>
      </w:r>
    </w:p>
  </w:footnote>
  <w:footnote w:id="98">
    <w:p w14:paraId="7FB01A6C" w14:textId="1009E2FB" w:rsidR="00AD229C" w:rsidRDefault="00AD229C">
      <w:pPr>
        <w:pStyle w:val="Textonotapie"/>
      </w:pPr>
      <w:r>
        <w:rPr>
          <w:rStyle w:val="Refdenotaalpie"/>
        </w:rPr>
        <w:footnoteRef/>
      </w:r>
      <w:r>
        <w:t xml:space="preserve"> </w:t>
      </w:r>
      <w:r w:rsidRPr="00BD08A1">
        <w:rPr>
          <w:szCs w:val="18"/>
          <w:lang w:val="es-PY"/>
        </w:rPr>
        <w:t>CONACOM, Opinión D/</w:t>
      </w:r>
      <w:r>
        <w:rPr>
          <w:szCs w:val="18"/>
          <w:lang w:val="es-PY"/>
        </w:rPr>
        <w:t>0</w:t>
      </w:r>
      <w:r w:rsidRPr="00BD08A1">
        <w:rPr>
          <w:szCs w:val="18"/>
          <w:lang w:val="es-PY"/>
        </w:rPr>
        <w:t xml:space="preserve">1/2021, </w:t>
      </w:r>
      <w:r w:rsidRPr="00F55F37">
        <w:rPr>
          <w:i/>
          <w:iCs/>
          <w:szCs w:val="18"/>
          <w:lang w:val="es-PY"/>
        </w:rPr>
        <w:t>Ordenanza N° 326/2021</w:t>
      </w:r>
      <w:r>
        <w:rPr>
          <w:i/>
          <w:iCs/>
          <w:szCs w:val="18"/>
          <w:lang w:val="es-PY"/>
        </w:rPr>
        <w:t xml:space="preserve"> “Que establece la provisión, manipuleo, almacenamiento de combustibles, líquidos y gaseosos, así como el funcionamiento de los locales, destinados a su comercialización y actividades afines</w:t>
      </w:r>
      <w:r w:rsidRPr="00BD08A1">
        <w:rPr>
          <w:szCs w:val="18"/>
          <w:lang w:val="es-PY"/>
        </w:rPr>
        <w:t xml:space="preserve"> &lt;</w:t>
      </w:r>
      <w:r w:rsidRPr="00F55F37">
        <w:rPr>
          <w:szCs w:val="18"/>
          <w:lang w:val="es-PY"/>
        </w:rPr>
        <w:t>https://drive.google.com/file/d/1ML1FtuFdReN6Xr-eZPgOLzqQFWjk_2fj/view</w:t>
      </w:r>
      <w:r w:rsidRPr="00BD08A1">
        <w:rPr>
          <w:szCs w:val="18"/>
          <w:lang w:val="es-PY"/>
        </w:rPr>
        <w:t xml:space="preserve">&gt; (Consultado el </w:t>
      </w:r>
      <w:r>
        <w:rPr>
          <w:szCs w:val="18"/>
          <w:lang w:val="es-PY"/>
        </w:rPr>
        <w:t xml:space="preserve">22 </w:t>
      </w:r>
      <w:r w:rsidRPr="00BD08A1">
        <w:rPr>
          <w:szCs w:val="18"/>
          <w:lang w:val="es-PY"/>
        </w:rPr>
        <w:t xml:space="preserve">de </w:t>
      </w:r>
      <w:r>
        <w:rPr>
          <w:szCs w:val="18"/>
          <w:lang w:val="es-PY"/>
        </w:rPr>
        <w:t xml:space="preserve">enero </w:t>
      </w:r>
      <w:r w:rsidRPr="00BD08A1">
        <w:rPr>
          <w:szCs w:val="18"/>
          <w:lang w:val="es-PY"/>
        </w:rPr>
        <w:t>de 202</w:t>
      </w:r>
      <w:r>
        <w:rPr>
          <w:szCs w:val="18"/>
          <w:lang w:val="es-PY"/>
        </w:rPr>
        <w:t>4</w:t>
      </w:r>
      <w:r w:rsidRPr="00BD08A1">
        <w:rPr>
          <w:szCs w:val="18"/>
          <w:lang w:val="es-PY"/>
        </w:rPr>
        <w:t>).</w:t>
      </w:r>
      <w:r>
        <w:rPr>
          <w:szCs w:val="18"/>
          <w:lang w:val="es-PY"/>
        </w:rPr>
        <w:t xml:space="preserve"> </w:t>
      </w:r>
    </w:p>
  </w:footnote>
  <w:footnote w:id="99">
    <w:p w14:paraId="33781AA0" w14:textId="76A02E9D" w:rsidR="00F55F37" w:rsidRPr="00B200E4" w:rsidRDefault="00F55F37">
      <w:pPr>
        <w:pStyle w:val="Textonotapie"/>
      </w:pPr>
      <w:r>
        <w:rPr>
          <w:rStyle w:val="Refdenotaalpie"/>
        </w:rPr>
        <w:footnoteRef/>
      </w:r>
      <w:r>
        <w:t xml:space="preserve"> </w:t>
      </w:r>
      <w:r w:rsidR="00B200E4">
        <w:t xml:space="preserve">Última Hora, </w:t>
      </w:r>
      <w:proofErr w:type="gramStart"/>
      <w:r w:rsidR="00B200E4">
        <w:rPr>
          <w:i/>
          <w:iCs/>
        </w:rPr>
        <w:t>Concejales</w:t>
      </w:r>
      <w:proofErr w:type="gramEnd"/>
      <w:r w:rsidR="00B200E4">
        <w:rPr>
          <w:i/>
          <w:iCs/>
        </w:rPr>
        <w:t xml:space="preserve"> dan vía libre para que estaciones de servicios se instalen sin limitaciones</w:t>
      </w:r>
      <w:r w:rsidR="00B200E4" w:rsidRPr="00B200E4">
        <w:t xml:space="preserve"> </w:t>
      </w:r>
      <w:r w:rsidR="00B200E4">
        <w:t xml:space="preserve">(27 de mayo de 2021) </w:t>
      </w:r>
      <w:r w:rsidR="00B200E4" w:rsidRPr="00B200E4">
        <w:t>&lt;https://www.ultimahora.com/concejales-dan-via-libre-que-estaciones-servicios-se-instalen-limitaciones-n2942962&gt;</w:t>
      </w:r>
      <w:r w:rsidR="00B200E4">
        <w:t xml:space="preserve"> (Consultado el 22 de enero de 2024). </w:t>
      </w:r>
    </w:p>
  </w:footnote>
  <w:footnote w:id="100">
    <w:p w14:paraId="38EC91B3" w14:textId="3166E854" w:rsidR="00606BC3" w:rsidRDefault="00606BC3">
      <w:pPr>
        <w:pStyle w:val="Textonotapie"/>
      </w:pPr>
      <w:r>
        <w:rPr>
          <w:rStyle w:val="Refdenotaalpie"/>
        </w:rPr>
        <w:footnoteRef/>
      </w:r>
      <w:r>
        <w:t xml:space="preserve"> </w:t>
      </w:r>
      <w:r w:rsidRPr="00BD08A1">
        <w:rPr>
          <w:szCs w:val="18"/>
          <w:lang w:val="es-PY"/>
        </w:rPr>
        <w:t xml:space="preserve">CONACOM, Opinión D/RD N° 1/2021, Regulación de los servicios de transporte de personas en vehículos contratados por medio de aplicaciones digitales &lt;https://drive.google.com/file/d/1VVSYRpQ_Ix4n-fV4M8FvsmzWlIttY84p/view&gt; (Consultado el </w:t>
      </w:r>
      <w:r w:rsidR="0081534F">
        <w:rPr>
          <w:szCs w:val="18"/>
          <w:lang w:val="es-PY"/>
        </w:rPr>
        <w:t>15 de enero de 2024</w:t>
      </w:r>
      <w:r w:rsidRPr="00BD08A1">
        <w:rPr>
          <w:szCs w:val="18"/>
          <w:lang w:val="es-PY"/>
        </w:rPr>
        <w:t>).</w:t>
      </w:r>
      <w:r>
        <w:rPr>
          <w:szCs w:val="18"/>
          <w:lang w:val="es-PY"/>
        </w:rPr>
        <w:t xml:space="preserve"> </w:t>
      </w:r>
    </w:p>
  </w:footnote>
  <w:footnote w:id="101">
    <w:p w14:paraId="3615D14C" w14:textId="77777777" w:rsidR="00EC1391" w:rsidRDefault="00EC1391" w:rsidP="00EC1391">
      <w:pPr>
        <w:pStyle w:val="Textonotapie"/>
      </w:pPr>
      <w:r>
        <w:rPr>
          <w:rStyle w:val="Refdenotaalpie"/>
        </w:rPr>
        <w:footnoteRef/>
      </w:r>
      <w:r>
        <w:t xml:space="preserve"> </w:t>
      </w:r>
      <w:r w:rsidRPr="00BD08A1">
        <w:rPr>
          <w:szCs w:val="18"/>
        </w:rPr>
        <w:t xml:space="preserve">CONACOM, </w:t>
      </w:r>
      <w:r w:rsidRPr="00B467EE">
        <w:rPr>
          <w:szCs w:val="18"/>
          <w:lang w:val="es-ES_tradnl"/>
        </w:rPr>
        <w:t>Opinión del Directorio D/04/2022</w:t>
      </w:r>
      <w:r w:rsidRPr="00BD08A1">
        <w:rPr>
          <w:i/>
          <w:iCs/>
          <w:szCs w:val="18"/>
          <w:lang w:val="es-ES_tradnl"/>
        </w:rPr>
        <w:t>, Ordenanza N° 34/2019 de la Municipalidad de Capiatá “Que reglamenta la habilitación, permisión y prestación del servicio VTC basado en la plataforma digital dentro del Municipio de Capiatá”</w:t>
      </w:r>
      <w:r w:rsidRPr="00BD08A1">
        <w:rPr>
          <w:szCs w:val="18"/>
          <w:lang w:val="es-ES_tradnl"/>
        </w:rPr>
        <w:t xml:space="preserve"> &lt;</w:t>
      </w:r>
      <w:r w:rsidRPr="00BD08A1">
        <w:rPr>
          <w:szCs w:val="18"/>
        </w:rPr>
        <w:t>https://drive.google.com/file/d/1KUaZFHubekpfUBpa8tjvFKLjzqe7os7f/view</w:t>
      </w:r>
      <w:r w:rsidRPr="00BD08A1">
        <w:rPr>
          <w:szCs w:val="18"/>
          <w:lang w:val="es-ES_tradnl"/>
        </w:rPr>
        <w:t xml:space="preserve">&gt; (Consultado el </w:t>
      </w:r>
      <w:r>
        <w:rPr>
          <w:szCs w:val="18"/>
          <w:lang w:val="es-ES_tradnl"/>
        </w:rPr>
        <w:t xml:space="preserve">19 de enero </w:t>
      </w:r>
      <w:r w:rsidRPr="00BD08A1">
        <w:rPr>
          <w:szCs w:val="18"/>
          <w:lang w:val="es-ES_tradnl"/>
        </w:rPr>
        <w:t>de 202</w:t>
      </w:r>
      <w:r>
        <w:rPr>
          <w:szCs w:val="18"/>
          <w:lang w:val="es-ES_tradnl"/>
        </w:rPr>
        <w:t>4</w:t>
      </w:r>
      <w:r w:rsidRPr="00BD08A1">
        <w:rPr>
          <w:szCs w:val="18"/>
          <w:lang w:val="es-ES_tradnl"/>
        </w:rPr>
        <w:t>).</w:t>
      </w:r>
      <w:r>
        <w:rPr>
          <w:szCs w:val="18"/>
          <w:lang w:val="es-ES_tradnl"/>
        </w:rPr>
        <w:t xml:space="preserve"> </w:t>
      </w:r>
    </w:p>
  </w:footnote>
  <w:footnote w:id="102">
    <w:p w14:paraId="09913BAF" w14:textId="77777777" w:rsidR="00EC1391" w:rsidRDefault="00EC1391" w:rsidP="00EC1391">
      <w:pPr>
        <w:pStyle w:val="Textonotapie"/>
      </w:pPr>
      <w:r>
        <w:rPr>
          <w:rStyle w:val="Refdenotaalpie"/>
        </w:rPr>
        <w:footnoteRef/>
      </w:r>
      <w:r>
        <w:t xml:space="preserve"> </w:t>
      </w:r>
      <w:r w:rsidRPr="00BD08A1">
        <w:rPr>
          <w:szCs w:val="18"/>
        </w:rPr>
        <w:t xml:space="preserve">CONACOM, </w:t>
      </w:r>
      <w:r w:rsidRPr="00B467EE">
        <w:rPr>
          <w:szCs w:val="18"/>
          <w:lang w:val="es-ES_tradnl"/>
        </w:rPr>
        <w:t>Opinión del Directorio D/04/2022</w:t>
      </w:r>
      <w:r w:rsidRPr="00BD08A1">
        <w:rPr>
          <w:i/>
          <w:iCs/>
          <w:szCs w:val="18"/>
          <w:lang w:val="es-ES_tradnl"/>
        </w:rPr>
        <w:t>, Ordenanza N° 34/2019 de la Municipalidad de Capiatá “Que reglamenta la habilitación, permisión y prestación del servicio VTC basado en la plataforma digital dentro del Municipio de Capiatá”</w:t>
      </w:r>
      <w:r w:rsidRPr="00BD08A1">
        <w:rPr>
          <w:szCs w:val="18"/>
          <w:lang w:val="es-ES_tradnl"/>
        </w:rPr>
        <w:t xml:space="preserve"> &lt;</w:t>
      </w:r>
      <w:r w:rsidRPr="00BD08A1">
        <w:rPr>
          <w:szCs w:val="18"/>
        </w:rPr>
        <w:t>https://drive.google.com/file/d/1KUaZFHubekpfUBpa8tjvFKLjzqe7os7f/view</w:t>
      </w:r>
      <w:r w:rsidRPr="00BD08A1">
        <w:rPr>
          <w:szCs w:val="18"/>
          <w:lang w:val="es-ES_tradnl"/>
        </w:rPr>
        <w:t xml:space="preserve">&gt; (Consultado el </w:t>
      </w:r>
      <w:r>
        <w:rPr>
          <w:szCs w:val="18"/>
          <w:lang w:val="es-ES_tradnl"/>
        </w:rPr>
        <w:t xml:space="preserve">19 de enero </w:t>
      </w:r>
      <w:r w:rsidRPr="00BD08A1">
        <w:rPr>
          <w:szCs w:val="18"/>
          <w:lang w:val="es-ES_tradnl"/>
        </w:rPr>
        <w:t>de 202</w:t>
      </w:r>
      <w:r>
        <w:rPr>
          <w:szCs w:val="18"/>
          <w:lang w:val="es-ES_tradnl"/>
        </w:rPr>
        <w:t>4</w:t>
      </w:r>
      <w:r w:rsidRPr="00BD08A1">
        <w:rPr>
          <w:szCs w:val="18"/>
          <w:lang w:val="es-ES_tradnl"/>
        </w:rPr>
        <w:t>).</w:t>
      </w:r>
      <w:r>
        <w:rPr>
          <w:szCs w:val="18"/>
          <w:lang w:val="es-ES_tradnl"/>
        </w:rPr>
        <w:t xml:space="preserve"> </w:t>
      </w:r>
    </w:p>
  </w:footnote>
  <w:footnote w:id="103">
    <w:p w14:paraId="1E9B81CF" w14:textId="74C9722B" w:rsidR="00B626B1" w:rsidRPr="00BD08A1" w:rsidRDefault="00B626B1" w:rsidP="00BD08A1">
      <w:pPr>
        <w:pStyle w:val="Textonotapie"/>
        <w:rPr>
          <w:szCs w:val="18"/>
        </w:rPr>
      </w:pPr>
      <w:r w:rsidRPr="00BD08A1">
        <w:rPr>
          <w:rStyle w:val="Refdenotaalpie"/>
          <w:szCs w:val="18"/>
        </w:rPr>
        <w:footnoteRef/>
      </w:r>
      <w:r w:rsidRPr="00BD08A1">
        <w:rPr>
          <w:szCs w:val="18"/>
        </w:rPr>
        <w:t xml:space="preserve"> CONACOM, </w:t>
      </w:r>
      <w:r w:rsidRPr="00B467EE">
        <w:rPr>
          <w:szCs w:val="18"/>
          <w:lang w:val="es-ES_tradnl"/>
        </w:rPr>
        <w:t>Opinión del Directorio D/04/2022</w:t>
      </w:r>
      <w:r w:rsidRPr="00BD08A1">
        <w:rPr>
          <w:i/>
          <w:iCs/>
          <w:szCs w:val="18"/>
          <w:lang w:val="es-ES_tradnl"/>
        </w:rPr>
        <w:t>, Ordenanza N° 34/2019 de la Municipalidad de Capiatá “Que reglamenta la habilitación, permisión y prestación del servicio VTC basado en la plataforma digital dentro del Municipio de Capiatá”</w:t>
      </w:r>
      <w:r w:rsidRPr="00BD08A1">
        <w:rPr>
          <w:szCs w:val="18"/>
          <w:lang w:val="es-ES_tradnl"/>
        </w:rPr>
        <w:t xml:space="preserve"> &lt;</w:t>
      </w:r>
      <w:r w:rsidRPr="00BD08A1">
        <w:rPr>
          <w:szCs w:val="18"/>
        </w:rPr>
        <w:t>https://drive.google.com/file/d/1KUaZFHubekpfUBpa8tjvFKLjzqe7os7f/view</w:t>
      </w:r>
      <w:r w:rsidRPr="00BD08A1">
        <w:rPr>
          <w:szCs w:val="18"/>
          <w:lang w:val="es-ES_tradnl"/>
        </w:rPr>
        <w:t xml:space="preserve">&gt; (Consultado el </w:t>
      </w:r>
      <w:r w:rsidR="0081534F">
        <w:rPr>
          <w:szCs w:val="18"/>
          <w:lang w:val="es-ES_tradnl"/>
        </w:rPr>
        <w:t>15 de enero de 2024</w:t>
      </w:r>
      <w:r w:rsidRPr="00BD08A1">
        <w:rPr>
          <w:szCs w:val="18"/>
          <w:lang w:val="es-ES_tradnl"/>
        </w:rPr>
        <w:t>)</w:t>
      </w:r>
      <w:r w:rsidR="00185BCF" w:rsidRPr="00BD08A1">
        <w:rPr>
          <w:szCs w:val="18"/>
          <w:lang w:val="es-ES_tradnl"/>
        </w:rPr>
        <w:t xml:space="preserve">. </w:t>
      </w:r>
    </w:p>
  </w:footnote>
  <w:footnote w:id="104">
    <w:p w14:paraId="3C3287D4" w14:textId="3EA88646" w:rsidR="001E5A63" w:rsidRPr="00BD08A1" w:rsidRDefault="001E5A63" w:rsidP="00BD08A1">
      <w:pPr>
        <w:pStyle w:val="Textonotapie"/>
        <w:rPr>
          <w:szCs w:val="18"/>
        </w:rPr>
      </w:pPr>
      <w:r w:rsidRPr="00BD08A1">
        <w:rPr>
          <w:rStyle w:val="Refdenotaalpie"/>
          <w:szCs w:val="18"/>
        </w:rPr>
        <w:footnoteRef/>
      </w:r>
      <w:r w:rsidRPr="00BD08A1">
        <w:rPr>
          <w:szCs w:val="18"/>
        </w:rPr>
        <w:t xml:space="preserve"> </w:t>
      </w:r>
      <w:r w:rsidR="00E51CB6" w:rsidRPr="00BD08A1">
        <w:rPr>
          <w:szCs w:val="18"/>
        </w:rPr>
        <w:t xml:space="preserve">OCDE, </w:t>
      </w:r>
      <w:proofErr w:type="spellStart"/>
      <w:r w:rsidR="00E51CB6" w:rsidRPr="00BD08A1">
        <w:rPr>
          <w:i/>
          <w:iCs/>
          <w:szCs w:val="18"/>
        </w:rPr>
        <w:t>Competition</w:t>
      </w:r>
      <w:proofErr w:type="spellEnd"/>
      <w:r w:rsidR="00E51CB6" w:rsidRPr="00BD08A1">
        <w:rPr>
          <w:i/>
          <w:iCs/>
          <w:szCs w:val="18"/>
        </w:rPr>
        <w:t xml:space="preserve"> </w:t>
      </w:r>
      <w:proofErr w:type="spellStart"/>
      <w:r w:rsidR="00E51CB6" w:rsidRPr="00BD08A1">
        <w:rPr>
          <w:i/>
          <w:iCs/>
          <w:szCs w:val="18"/>
        </w:rPr>
        <w:t>Assessment</w:t>
      </w:r>
      <w:proofErr w:type="spellEnd"/>
      <w:r w:rsidR="00E51CB6" w:rsidRPr="00BD08A1">
        <w:rPr>
          <w:i/>
          <w:iCs/>
          <w:szCs w:val="18"/>
        </w:rPr>
        <w:t xml:space="preserve"> </w:t>
      </w:r>
      <w:proofErr w:type="spellStart"/>
      <w:r w:rsidR="00E51CB6" w:rsidRPr="00BD08A1">
        <w:rPr>
          <w:i/>
          <w:iCs/>
          <w:szCs w:val="18"/>
        </w:rPr>
        <w:t>Toolkit</w:t>
      </w:r>
      <w:proofErr w:type="spellEnd"/>
      <w:r w:rsidR="00E51CB6" w:rsidRPr="00BD08A1">
        <w:rPr>
          <w:i/>
          <w:iCs/>
          <w:szCs w:val="18"/>
        </w:rPr>
        <w:t xml:space="preserve">, </w:t>
      </w:r>
      <w:proofErr w:type="spellStart"/>
      <w:r w:rsidR="00E51CB6" w:rsidRPr="00BD08A1">
        <w:rPr>
          <w:i/>
          <w:iCs/>
          <w:szCs w:val="18"/>
        </w:rPr>
        <w:t>Version</w:t>
      </w:r>
      <w:proofErr w:type="spellEnd"/>
      <w:r w:rsidR="00E51CB6" w:rsidRPr="00BD08A1">
        <w:rPr>
          <w:i/>
          <w:iCs/>
          <w:szCs w:val="18"/>
        </w:rPr>
        <w:t xml:space="preserve"> 4.0: </w:t>
      </w:r>
      <w:proofErr w:type="spellStart"/>
      <w:r w:rsidR="00E51CB6" w:rsidRPr="00BD08A1">
        <w:rPr>
          <w:i/>
          <w:iCs/>
          <w:szCs w:val="18"/>
        </w:rPr>
        <w:t>Operational</w:t>
      </w:r>
      <w:proofErr w:type="spellEnd"/>
      <w:r w:rsidR="00E51CB6" w:rsidRPr="00BD08A1">
        <w:rPr>
          <w:i/>
          <w:iCs/>
          <w:szCs w:val="18"/>
        </w:rPr>
        <w:t xml:space="preserve"> Manual </w:t>
      </w:r>
      <w:r w:rsidR="00E51CB6" w:rsidRPr="00BD08A1">
        <w:rPr>
          <w:szCs w:val="18"/>
        </w:rPr>
        <w:t xml:space="preserve">&lt;https://www.oecd.org/daf/competition/COMP_Toolkit_Vol.3_ENG_2019.pdf&gt; (Consultado el </w:t>
      </w:r>
      <w:r w:rsidR="0081534F">
        <w:rPr>
          <w:szCs w:val="18"/>
        </w:rPr>
        <w:t>15 de enero de 2024</w:t>
      </w:r>
      <w:r w:rsidR="00E51CB6" w:rsidRPr="00BD08A1">
        <w:rPr>
          <w:szCs w:val="18"/>
        </w:rPr>
        <w:t xml:space="preserve">), p. 39. </w:t>
      </w:r>
    </w:p>
  </w:footnote>
  <w:footnote w:id="105">
    <w:p w14:paraId="78AFB770" w14:textId="2B939244" w:rsidR="00185BCF" w:rsidRPr="00BD08A1" w:rsidRDefault="00185BCF" w:rsidP="00BD08A1">
      <w:pPr>
        <w:pStyle w:val="Textonotapie"/>
        <w:rPr>
          <w:szCs w:val="18"/>
        </w:rPr>
      </w:pPr>
      <w:r w:rsidRPr="00BD08A1">
        <w:rPr>
          <w:rStyle w:val="Refdenotaalpie"/>
          <w:szCs w:val="18"/>
        </w:rPr>
        <w:footnoteRef/>
      </w:r>
      <w:r w:rsidRPr="00BD08A1">
        <w:rPr>
          <w:szCs w:val="18"/>
        </w:rPr>
        <w:t xml:space="preserve"> Ley N° 2051/2003 “De Contrataciones Públicas”, artículo 40, inciso g). </w:t>
      </w:r>
    </w:p>
  </w:footnote>
  <w:footnote w:id="106">
    <w:p w14:paraId="355C71FD" w14:textId="49A54A06" w:rsidR="00CD4E7E" w:rsidRPr="00BD08A1" w:rsidRDefault="00CD4E7E" w:rsidP="00BD08A1">
      <w:pPr>
        <w:pStyle w:val="Textonotapie"/>
        <w:rPr>
          <w:szCs w:val="18"/>
        </w:rPr>
      </w:pPr>
      <w:r w:rsidRPr="00BD08A1">
        <w:rPr>
          <w:rStyle w:val="Refdenotaalpie"/>
          <w:szCs w:val="18"/>
        </w:rPr>
        <w:footnoteRef/>
      </w:r>
      <w:r w:rsidRPr="00BD08A1">
        <w:rPr>
          <w:szCs w:val="18"/>
        </w:rPr>
        <w:t xml:space="preserve"> CONACOM, </w:t>
      </w:r>
      <w:r w:rsidRPr="00BD4417">
        <w:rPr>
          <w:szCs w:val="18"/>
          <w:lang w:val="es-ES_tradnl"/>
        </w:rPr>
        <w:t>Opinión del Directorio D/13/2021,</w:t>
      </w:r>
      <w:r w:rsidRPr="00BD08A1">
        <w:rPr>
          <w:i/>
          <w:iCs/>
          <w:szCs w:val="18"/>
          <w:lang w:val="es-ES_tradnl"/>
        </w:rPr>
        <w:t xml:space="preserve"> Restricción de presentación de ofertas por oferentes vinculados entre sí por algún socio o asociado común </w:t>
      </w:r>
      <w:r w:rsidRPr="00BD08A1">
        <w:rPr>
          <w:szCs w:val="18"/>
          <w:lang w:val="es-ES_tradnl"/>
        </w:rPr>
        <w:t>&lt;</w:t>
      </w:r>
      <w:r w:rsidRPr="00BD08A1">
        <w:rPr>
          <w:szCs w:val="18"/>
        </w:rPr>
        <w:t>https://drive.google.com/file/d/1eZsUFhDcidPjp8vl8qdFAMQXspHxbQrX/view</w:t>
      </w:r>
      <w:r w:rsidRPr="00BD08A1">
        <w:rPr>
          <w:szCs w:val="18"/>
          <w:lang w:val="es-ES_tradnl"/>
        </w:rPr>
        <w:t xml:space="preserve">&gt; (Consultado el </w:t>
      </w:r>
      <w:r w:rsidR="0081534F">
        <w:rPr>
          <w:szCs w:val="18"/>
          <w:lang w:val="es-ES_tradnl"/>
        </w:rPr>
        <w:t>15 de enero de 2024</w:t>
      </w:r>
      <w:r w:rsidRPr="00BD08A1">
        <w:rPr>
          <w:szCs w:val="18"/>
          <w:lang w:val="es-ES_tradnl"/>
        </w:rPr>
        <w:t xml:space="preserve">). </w:t>
      </w:r>
    </w:p>
  </w:footnote>
  <w:footnote w:id="107">
    <w:p w14:paraId="6E1CB06B" w14:textId="24944F89" w:rsidR="00CD4E7E" w:rsidRPr="00BD08A1" w:rsidRDefault="00CD4E7E" w:rsidP="00BD08A1">
      <w:pPr>
        <w:pStyle w:val="Textonotapie"/>
        <w:rPr>
          <w:szCs w:val="18"/>
        </w:rPr>
      </w:pPr>
      <w:r w:rsidRPr="00BD08A1">
        <w:rPr>
          <w:rStyle w:val="Refdenotaalpie"/>
          <w:szCs w:val="18"/>
        </w:rPr>
        <w:footnoteRef/>
      </w:r>
      <w:r w:rsidRPr="00BD08A1">
        <w:rPr>
          <w:szCs w:val="18"/>
        </w:rPr>
        <w:t xml:space="preserve"> Ley N° 7021/2022 “De Suministro y Contrataciones Públicas”, artículo 21. </w:t>
      </w:r>
    </w:p>
  </w:footnote>
  <w:footnote w:id="108">
    <w:p w14:paraId="79B8E450" w14:textId="0834FFAB" w:rsidR="006D6CC3" w:rsidRPr="00BD08A1" w:rsidRDefault="006D6CC3" w:rsidP="00BD08A1">
      <w:pPr>
        <w:pStyle w:val="Textonotapie"/>
        <w:rPr>
          <w:szCs w:val="18"/>
        </w:rPr>
      </w:pPr>
      <w:r w:rsidRPr="00BD08A1">
        <w:rPr>
          <w:rStyle w:val="Refdenotaalpie"/>
          <w:szCs w:val="18"/>
        </w:rPr>
        <w:footnoteRef/>
      </w:r>
      <w:r w:rsidRPr="00BD08A1">
        <w:rPr>
          <w:szCs w:val="18"/>
        </w:rPr>
        <w:t xml:space="preserve"> CONACOM, </w:t>
      </w:r>
      <w:r w:rsidRPr="00BD4417">
        <w:rPr>
          <w:szCs w:val="18"/>
        </w:rPr>
        <w:t>Opinión del Directorio D/07/2022,</w:t>
      </w:r>
      <w:r w:rsidRPr="00BD08A1">
        <w:rPr>
          <w:i/>
          <w:iCs/>
          <w:szCs w:val="18"/>
        </w:rPr>
        <w:t xml:space="preserve"> Proyecto de Ley “Que establece medidas de transparencia y publicidad sobre la estructura de costos y precios de facturación de combustibles” </w:t>
      </w:r>
      <w:r w:rsidRPr="00BD08A1">
        <w:rPr>
          <w:szCs w:val="18"/>
        </w:rPr>
        <w:t xml:space="preserve">&lt;https://drive.google.com/file/d/1koNzk9tTAZQZNQ0A8ExJRYf8toy1VW2I/view&gt; (Consultado el </w:t>
      </w:r>
      <w:r w:rsidR="0081534F">
        <w:rPr>
          <w:szCs w:val="18"/>
        </w:rPr>
        <w:t>15 de enero de 2024</w:t>
      </w:r>
      <w:r w:rsidRPr="00BD08A1">
        <w:rPr>
          <w:szCs w:val="18"/>
        </w:rPr>
        <w:t>)</w:t>
      </w:r>
    </w:p>
  </w:footnote>
  <w:footnote w:id="109">
    <w:p w14:paraId="59A531CA" w14:textId="79CB6E10" w:rsidR="006D6CC3" w:rsidRPr="00BD08A1" w:rsidRDefault="006D6CC3" w:rsidP="00BD08A1">
      <w:pPr>
        <w:pStyle w:val="Textonotapie"/>
        <w:rPr>
          <w:szCs w:val="18"/>
        </w:rPr>
      </w:pPr>
      <w:r w:rsidRPr="00BD08A1">
        <w:rPr>
          <w:rStyle w:val="Refdenotaalpie"/>
          <w:szCs w:val="18"/>
        </w:rPr>
        <w:footnoteRef/>
      </w:r>
      <w:r w:rsidRPr="00BD08A1">
        <w:rPr>
          <w:szCs w:val="18"/>
        </w:rPr>
        <w:t xml:space="preserve"> CONACOM, </w:t>
      </w:r>
      <w:r w:rsidRPr="00BD4417">
        <w:rPr>
          <w:szCs w:val="18"/>
        </w:rPr>
        <w:t>Opinión del Directorio D/07/2022,</w:t>
      </w:r>
      <w:r w:rsidRPr="00BD08A1">
        <w:rPr>
          <w:i/>
          <w:iCs/>
          <w:szCs w:val="18"/>
        </w:rPr>
        <w:t xml:space="preserve"> Proyecto de Ley “Que establece medidas de transparencia y publicidad sobre la estructura de costos y precios de facturación de combustibles” </w:t>
      </w:r>
      <w:r w:rsidRPr="00BD08A1">
        <w:rPr>
          <w:szCs w:val="18"/>
        </w:rPr>
        <w:t xml:space="preserve">&lt;https://drive.google.com/file/d/1koNzk9tTAZQZNQ0A8ExJRYf8toy1VW2I/view&gt; (Consultado el </w:t>
      </w:r>
      <w:r w:rsidR="0081534F">
        <w:rPr>
          <w:szCs w:val="18"/>
        </w:rPr>
        <w:t>15 de enero de 2024</w:t>
      </w:r>
      <w:r w:rsidRPr="00BD08A1">
        <w:rPr>
          <w:szCs w:val="18"/>
        </w:rPr>
        <w:t>)</w:t>
      </w:r>
    </w:p>
  </w:footnote>
  <w:footnote w:id="110">
    <w:p w14:paraId="6DD3351C" w14:textId="1B73DA4E" w:rsidR="001030E2" w:rsidRPr="00BD08A1" w:rsidRDefault="001030E2" w:rsidP="00BD08A1">
      <w:pPr>
        <w:pStyle w:val="Textonotapie"/>
        <w:rPr>
          <w:szCs w:val="18"/>
        </w:rPr>
      </w:pPr>
      <w:r w:rsidRPr="00BD08A1">
        <w:rPr>
          <w:rStyle w:val="Refdenotaalpie"/>
          <w:szCs w:val="18"/>
        </w:rPr>
        <w:footnoteRef/>
      </w:r>
      <w:r w:rsidRPr="00BD08A1">
        <w:rPr>
          <w:szCs w:val="18"/>
        </w:rPr>
        <w:t xml:space="preserve"> CONACOM, </w:t>
      </w:r>
      <w:r w:rsidRPr="00BD4417">
        <w:rPr>
          <w:szCs w:val="18"/>
          <w:lang w:val="es-ES_tradnl"/>
        </w:rPr>
        <w:t>Opinión del Directorio D/08/2021,</w:t>
      </w:r>
      <w:r w:rsidRPr="00BD08A1">
        <w:rPr>
          <w:i/>
          <w:iCs/>
          <w:szCs w:val="18"/>
          <w:lang w:val="es-ES_tradnl"/>
        </w:rPr>
        <w:t xml:space="preserve"> Proyecto de Ley “De Suministro y Contrataciones Públicas” </w:t>
      </w:r>
      <w:r w:rsidRPr="00BD08A1">
        <w:rPr>
          <w:szCs w:val="18"/>
          <w:lang w:val="es-ES_tradnl"/>
        </w:rPr>
        <w:t>&lt;</w:t>
      </w:r>
      <w:r w:rsidRPr="00BD08A1">
        <w:rPr>
          <w:szCs w:val="18"/>
        </w:rPr>
        <w:t>https://drive.google.com/file/d/13cXvTwDEsrCBUfWcpZ7iCICkLDh13VJy/view</w:t>
      </w:r>
      <w:r w:rsidRPr="00BD08A1">
        <w:rPr>
          <w:szCs w:val="18"/>
          <w:lang w:val="es-ES_tradnl"/>
        </w:rPr>
        <w:t xml:space="preserve">&gt; (Consultado el </w:t>
      </w:r>
      <w:r w:rsidR="0081534F">
        <w:rPr>
          <w:szCs w:val="18"/>
          <w:lang w:val="es-ES_tradnl"/>
        </w:rPr>
        <w:t>15 de enero de 2024</w:t>
      </w:r>
      <w:r w:rsidRPr="00BD08A1">
        <w:rPr>
          <w:szCs w:val="18"/>
          <w:lang w:val="es-ES_tradnl"/>
        </w:rPr>
        <w:t xml:space="preserve">). </w:t>
      </w:r>
    </w:p>
  </w:footnote>
  <w:footnote w:id="111">
    <w:p w14:paraId="4D92EAD6" w14:textId="01F72B84" w:rsidR="00435F00" w:rsidRPr="00BD08A1" w:rsidRDefault="00435F00"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24. </w:t>
      </w:r>
    </w:p>
  </w:footnote>
  <w:footnote w:id="112">
    <w:p w14:paraId="304A1F59" w14:textId="63F8B441" w:rsidR="00060E2B" w:rsidRPr="00BD08A1" w:rsidRDefault="00060E2B" w:rsidP="00BD08A1">
      <w:pPr>
        <w:pStyle w:val="Textonotapie"/>
        <w:rPr>
          <w:szCs w:val="18"/>
        </w:rPr>
      </w:pPr>
      <w:r w:rsidRPr="00BD08A1">
        <w:rPr>
          <w:rStyle w:val="Refdenotaalpie"/>
          <w:szCs w:val="18"/>
        </w:rPr>
        <w:footnoteRef/>
      </w:r>
      <w:r w:rsidRPr="00BD08A1">
        <w:rPr>
          <w:szCs w:val="18"/>
        </w:rPr>
        <w:t xml:space="preserve"> COFECE, </w:t>
      </w:r>
      <w:r w:rsidRPr="00BD08A1">
        <w:rPr>
          <w:i/>
          <w:iCs/>
          <w:szCs w:val="18"/>
        </w:rPr>
        <w:t>Guía para la evaluación de la regulación desde la óptica de competencia</w:t>
      </w:r>
      <w:r w:rsidRPr="00BD08A1">
        <w:rPr>
          <w:szCs w:val="18"/>
        </w:rPr>
        <w:t xml:space="preserve"> &lt;https://www.cofece.mx/cofece/images/Promocion/Guia_Evaluacion_Regulacion_270516.pdf#pdf&gt; (Consultado el </w:t>
      </w:r>
      <w:r w:rsidR="0081534F">
        <w:rPr>
          <w:szCs w:val="18"/>
        </w:rPr>
        <w:t>15 de enero de 2024</w:t>
      </w:r>
      <w:r w:rsidRPr="00BD08A1">
        <w:rPr>
          <w:szCs w:val="18"/>
        </w:rPr>
        <w:t xml:space="preserve">), p. 22. </w:t>
      </w:r>
    </w:p>
  </w:footnote>
  <w:footnote w:id="113">
    <w:p w14:paraId="671D2A82" w14:textId="27F00695" w:rsidR="00F42608" w:rsidRPr="00BD08A1" w:rsidRDefault="00F42608" w:rsidP="00BD08A1">
      <w:pPr>
        <w:pStyle w:val="Textonotapie"/>
        <w:rPr>
          <w:szCs w:val="18"/>
        </w:rPr>
      </w:pPr>
      <w:r w:rsidRPr="00BD08A1">
        <w:rPr>
          <w:rStyle w:val="Refdenotaalpie"/>
          <w:szCs w:val="18"/>
        </w:rPr>
        <w:footnoteRef/>
      </w:r>
      <w:r w:rsidRPr="00BD08A1">
        <w:rPr>
          <w:szCs w:val="18"/>
        </w:rPr>
        <w:t xml:space="preserve"> </w:t>
      </w:r>
      <w:r w:rsidR="00BD4417" w:rsidRPr="00BD08A1">
        <w:rPr>
          <w:szCs w:val="18"/>
        </w:rPr>
        <w:t xml:space="preserve">CONACOM, </w:t>
      </w:r>
      <w:r w:rsidR="00BD4417" w:rsidRPr="00BD4417">
        <w:rPr>
          <w:szCs w:val="18"/>
          <w:lang w:val="es-ES_tradnl"/>
        </w:rPr>
        <w:t>Opinión del Directorio D/0</w:t>
      </w:r>
      <w:r w:rsidR="00BD4417">
        <w:rPr>
          <w:szCs w:val="18"/>
          <w:lang w:val="es-ES_tradnl"/>
        </w:rPr>
        <w:t>6</w:t>
      </w:r>
      <w:r w:rsidR="00BD4417" w:rsidRPr="00BD4417">
        <w:rPr>
          <w:szCs w:val="18"/>
          <w:lang w:val="es-ES_tradnl"/>
        </w:rPr>
        <w:t>/202</w:t>
      </w:r>
      <w:r w:rsidR="0081534F">
        <w:rPr>
          <w:szCs w:val="18"/>
          <w:lang w:val="es-ES_tradnl"/>
        </w:rPr>
        <w:t>3</w:t>
      </w:r>
      <w:r w:rsidR="00BD4417" w:rsidRPr="00BD4417">
        <w:rPr>
          <w:szCs w:val="18"/>
          <w:lang w:val="es-ES_tradnl"/>
        </w:rPr>
        <w:t>,</w:t>
      </w:r>
      <w:r w:rsidR="00BD4417" w:rsidRPr="00BD08A1">
        <w:rPr>
          <w:i/>
          <w:iCs/>
          <w:szCs w:val="18"/>
          <w:lang w:val="es-ES_tradnl"/>
        </w:rPr>
        <w:t xml:space="preserve"> </w:t>
      </w:r>
      <w:r w:rsidR="00BD4417">
        <w:rPr>
          <w:i/>
          <w:iCs/>
          <w:szCs w:val="18"/>
          <w:lang w:val="es-ES_tradnl"/>
        </w:rPr>
        <w:t>Seguro de vehículos automotores y su vinculación con la venta y el otorgamiento de créditos</w:t>
      </w:r>
      <w:r w:rsidR="00BD4417" w:rsidRPr="00BD08A1">
        <w:rPr>
          <w:i/>
          <w:iCs/>
          <w:szCs w:val="18"/>
          <w:lang w:val="es-ES_tradnl"/>
        </w:rPr>
        <w:t xml:space="preserve"> </w:t>
      </w:r>
      <w:r w:rsidR="00BD4417" w:rsidRPr="00BD08A1">
        <w:rPr>
          <w:szCs w:val="18"/>
          <w:lang w:val="es-ES_tradnl"/>
        </w:rPr>
        <w:t>&lt;</w:t>
      </w:r>
      <w:r w:rsidR="00BD4417" w:rsidRPr="00BD4417">
        <w:rPr>
          <w:szCs w:val="18"/>
        </w:rPr>
        <w:t>https://drive.google.com/file/d/1HWLkX35ceCNQvq5sVAgV_xytMNq4wg21/view</w:t>
      </w:r>
      <w:r w:rsidR="00BD4417" w:rsidRPr="00BD08A1">
        <w:rPr>
          <w:szCs w:val="18"/>
          <w:lang w:val="es-ES_tradnl"/>
        </w:rPr>
        <w:t>&gt; (Consultado el 2</w:t>
      </w:r>
      <w:r w:rsidR="00BD4417">
        <w:rPr>
          <w:szCs w:val="18"/>
          <w:lang w:val="es-ES_tradnl"/>
        </w:rPr>
        <w:t>2 de enero de 2024</w:t>
      </w:r>
      <w:r w:rsidR="00BD4417" w:rsidRPr="00BD08A1">
        <w:rPr>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344F" w14:textId="1E220CA4" w:rsidR="00C1739C" w:rsidRDefault="0090197E">
    <w:pPr>
      <w:pStyle w:val="Encabezado"/>
    </w:pPr>
    <w:r>
      <w:rPr>
        <w:noProof/>
        <w:color w:val="000000"/>
      </w:rPr>
      <w:drawing>
        <wp:inline distT="0" distB="0" distL="0" distR="0" wp14:anchorId="1B4BC18D" wp14:editId="444D0D1F">
          <wp:extent cx="5671185" cy="744461"/>
          <wp:effectExtent l="0" t="0" r="5715" b="0"/>
          <wp:docPr id="58245162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51629"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71185" cy="744461"/>
                  </a:xfrm>
                  <a:prstGeom prst="rect">
                    <a:avLst/>
                  </a:prstGeom>
                </pic:spPr>
              </pic:pic>
            </a:graphicData>
          </a:graphic>
        </wp:inline>
      </w:drawing>
    </w:r>
  </w:p>
  <w:p w14:paraId="5C880A97" w14:textId="029B89D4" w:rsidR="00C1739C" w:rsidRPr="00D056E2" w:rsidRDefault="00D056E2" w:rsidP="00D056E2">
    <w:pPr>
      <w:pStyle w:val="Encabezado"/>
      <w:ind w:left="4419" w:hanging="4419"/>
      <w:jc w:val="right"/>
      <w:rPr>
        <w:b/>
        <w:bCs/>
      </w:rPr>
    </w:pPr>
    <w:r w:rsidRPr="00D056E2">
      <w:rPr>
        <w:b/>
        <w:bCs/>
        <w:bdr w:val="single" w:sz="4" w:space="0" w:color="auto"/>
      </w:rPr>
      <w:t>VERSIÓN PRELIMINAR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9A1F" w14:textId="21F57EAF" w:rsidR="00C1739C" w:rsidRDefault="00B815D8" w:rsidP="003B02A8">
    <w:pPr>
      <w:pStyle w:val="Encabezado"/>
      <w:tabs>
        <w:tab w:val="clear" w:pos="4419"/>
        <w:tab w:val="clear" w:pos="8838"/>
        <w:tab w:val="left" w:pos="2400"/>
      </w:tabs>
    </w:pPr>
    <w:r>
      <w:rPr>
        <w:noProof/>
        <w:color w:val="000000"/>
      </w:rPr>
      <w:drawing>
        <wp:inline distT="0" distB="0" distL="0" distR="0" wp14:anchorId="6209CDCC" wp14:editId="2D28FD3A">
          <wp:extent cx="5671185" cy="744461"/>
          <wp:effectExtent l="0" t="0" r="5715" b="0"/>
          <wp:docPr id="49649136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51629"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71185" cy="744461"/>
                  </a:xfrm>
                  <a:prstGeom prst="rect">
                    <a:avLst/>
                  </a:prstGeom>
                </pic:spPr>
              </pic:pic>
            </a:graphicData>
          </a:graphic>
        </wp:inline>
      </w:drawing>
    </w:r>
    <w:r w:rsidR="003B02A8">
      <w:tab/>
    </w:r>
  </w:p>
  <w:p w14:paraId="6E48AB49" w14:textId="3B944452" w:rsidR="00C1739C" w:rsidRDefault="00C173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4BB"/>
    <w:multiLevelType w:val="multilevel"/>
    <w:tmpl w:val="F5FED64C"/>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080" w:hanging="720"/>
      </w:pPr>
      <w:rPr>
        <w:rFonts w:hint="default"/>
        <w:b w:val="0"/>
        <w:bCs w:val="0"/>
      </w:rPr>
    </w:lvl>
    <w:lvl w:ilvl="4">
      <w:start w:val="1"/>
      <w:numFmt w:val="decimal"/>
      <w:pStyle w:val="Ttulo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D92C2F"/>
    <w:multiLevelType w:val="hybridMultilevel"/>
    <w:tmpl w:val="25C446E6"/>
    <w:lvl w:ilvl="0" w:tplc="54DCD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9F798A"/>
    <w:multiLevelType w:val="hybridMultilevel"/>
    <w:tmpl w:val="F43E83EE"/>
    <w:lvl w:ilvl="0" w:tplc="547C8A8E">
      <w:start w:val="1"/>
      <w:numFmt w:val="bullet"/>
      <w:lvlText w:val=""/>
      <w:lvlJc w:val="left"/>
      <w:pPr>
        <w:ind w:left="1080" w:hanging="360"/>
      </w:pPr>
      <w:rPr>
        <w:rFonts w:ascii="Symbol" w:eastAsiaTheme="minorHAnsi" w:hAnsi="Symbol"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 w15:restartNumberingAfterBreak="0">
    <w:nsid w:val="538016D6"/>
    <w:multiLevelType w:val="multilevel"/>
    <w:tmpl w:val="03E85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8E355E7"/>
    <w:multiLevelType w:val="hybridMultilevel"/>
    <w:tmpl w:val="DF20905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5F417903"/>
    <w:multiLevelType w:val="hybridMultilevel"/>
    <w:tmpl w:val="69AC5936"/>
    <w:lvl w:ilvl="0" w:tplc="387A0946">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60B96647"/>
    <w:multiLevelType w:val="hybridMultilevel"/>
    <w:tmpl w:val="C50E5F4C"/>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64CC3D35"/>
    <w:multiLevelType w:val="multilevel"/>
    <w:tmpl w:val="03E85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5B4C80"/>
    <w:multiLevelType w:val="hybridMultilevel"/>
    <w:tmpl w:val="08BC900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16cid:durableId="1654291062">
    <w:abstractNumId w:val="7"/>
  </w:num>
  <w:num w:numId="2" w16cid:durableId="353698939">
    <w:abstractNumId w:val="0"/>
  </w:num>
  <w:num w:numId="3" w16cid:durableId="836727371">
    <w:abstractNumId w:val="3"/>
  </w:num>
  <w:num w:numId="4" w16cid:durableId="2104255992">
    <w:abstractNumId w:val="0"/>
  </w:num>
  <w:num w:numId="5" w16cid:durableId="1447655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090585">
    <w:abstractNumId w:val="5"/>
  </w:num>
  <w:num w:numId="7" w16cid:durableId="1662810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8389852">
    <w:abstractNumId w:val="0"/>
  </w:num>
  <w:num w:numId="9" w16cid:durableId="196239123">
    <w:abstractNumId w:val="0"/>
  </w:num>
  <w:num w:numId="10" w16cid:durableId="1700467016">
    <w:abstractNumId w:val="2"/>
  </w:num>
  <w:num w:numId="11" w16cid:durableId="11999771">
    <w:abstractNumId w:val="1"/>
  </w:num>
  <w:num w:numId="12" w16cid:durableId="1419061767">
    <w:abstractNumId w:val="0"/>
  </w:num>
  <w:num w:numId="13" w16cid:durableId="1747605725">
    <w:abstractNumId w:val="4"/>
  </w:num>
  <w:num w:numId="14" w16cid:durableId="646865355">
    <w:abstractNumId w:val="8"/>
  </w:num>
  <w:num w:numId="15" w16cid:durableId="1234973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9A"/>
    <w:rsid w:val="00005FEC"/>
    <w:rsid w:val="0001043E"/>
    <w:rsid w:val="00017267"/>
    <w:rsid w:val="00024432"/>
    <w:rsid w:val="00024B46"/>
    <w:rsid w:val="0003194B"/>
    <w:rsid w:val="00033694"/>
    <w:rsid w:val="00034493"/>
    <w:rsid w:val="00045240"/>
    <w:rsid w:val="00050D9F"/>
    <w:rsid w:val="00050DC6"/>
    <w:rsid w:val="000550AE"/>
    <w:rsid w:val="00055E93"/>
    <w:rsid w:val="00060255"/>
    <w:rsid w:val="00060E2B"/>
    <w:rsid w:val="00064386"/>
    <w:rsid w:val="0006696C"/>
    <w:rsid w:val="00070B34"/>
    <w:rsid w:val="00072654"/>
    <w:rsid w:val="00073A1A"/>
    <w:rsid w:val="0007711A"/>
    <w:rsid w:val="0008075E"/>
    <w:rsid w:val="00080CE1"/>
    <w:rsid w:val="00090D3D"/>
    <w:rsid w:val="0009238D"/>
    <w:rsid w:val="000948F1"/>
    <w:rsid w:val="000954A8"/>
    <w:rsid w:val="00095875"/>
    <w:rsid w:val="000A1F7B"/>
    <w:rsid w:val="000A3253"/>
    <w:rsid w:val="000B1630"/>
    <w:rsid w:val="000B6612"/>
    <w:rsid w:val="000B7A22"/>
    <w:rsid w:val="000C1CFD"/>
    <w:rsid w:val="000D2F24"/>
    <w:rsid w:val="000D4EFB"/>
    <w:rsid w:val="000D4F0B"/>
    <w:rsid w:val="000D724C"/>
    <w:rsid w:val="000D7F80"/>
    <w:rsid w:val="000E704A"/>
    <w:rsid w:val="000F4211"/>
    <w:rsid w:val="000F4AA3"/>
    <w:rsid w:val="000F55DB"/>
    <w:rsid w:val="000F6432"/>
    <w:rsid w:val="000F78EE"/>
    <w:rsid w:val="00101B61"/>
    <w:rsid w:val="00102C0C"/>
    <w:rsid w:val="001030E2"/>
    <w:rsid w:val="00114178"/>
    <w:rsid w:val="001152C4"/>
    <w:rsid w:val="001152CE"/>
    <w:rsid w:val="00121A37"/>
    <w:rsid w:val="001333E9"/>
    <w:rsid w:val="00133E46"/>
    <w:rsid w:val="001444A4"/>
    <w:rsid w:val="001537C8"/>
    <w:rsid w:val="00157E4E"/>
    <w:rsid w:val="001667EA"/>
    <w:rsid w:val="0017350E"/>
    <w:rsid w:val="00175C0E"/>
    <w:rsid w:val="00180946"/>
    <w:rsid w:val="00183107"/>
    <w:rsid w:val="0018457D"/>
    <w:rsid w:val="001859B5"/>
    <w:rsid w:val="00185BCF"/>
    <w:rsid w:val="0018608D"/>
    <w:rsid w:val="00187832"/>
    <w:rsid w:val="00190281"/>
    <w:rsid w:val="001A3D26"/>
    <w:rsid w:val="001A56E3"/>
    <w:rsid w:val="001B56CD"/>
    <w:rsid w:val="001B6F27"/>
    <w:rsid w:val="001C0053"/>
    <w:rsid w:val="001C0BE9"/>
    <w:rsid w:val="001C6630"/>
    <w:rsid w:val="001D4A5E"/>
    <w:rsid w:val="001E3A81"/>
    <w:rsid w:val="001E5A63"/>
    <w:rsid w:val="001F074F"/>
    <w:rsid w:val="001F0A96"/>
    <w:rsid w:val="001F33F9"/>
    <w:rsid w:val="001F3DFC"/>
    <w:rsid w:val="001F7512"/>
    <w:rsid w:val="00204E48"/>
    <w:rsid w:val="00205AD5"/>
    <w:rsid w:val="0020762C"/>
    <w:rsid w:val="00207E74"/>
    <w:rsid w:val="00210F8C"/>
    <w:rsid w:val="00215C07"/>
    <w:rsid w:val="0022342C"/>
    <w:rsid w:val="002239FD"/>
    <w:rsid w:val="00223A13"/>
    <w:rsid w:val="002249F1"/>
    <w:rsid w:val="002250E6"/>
    <w:rsid w:val="00225117"/>
    <w:rsid w:val="0025000C"/>
    <w:rsid w:val="00250CE5"/>
    <w:rsid w:val="00250D4A"/>
    <w:rsid w:val="00251094"/>
    <w:rsid w:val="002539CD"/>
    <w:rsid w:val="002555E5"/>
    <w:rsid w:val="00256349"/>
    <w:rsid w:val="00260A90"/>
    <w:rsid w:val="00264535"/>
    <w:rsid w:val="00264B67"/>
    <w:rsid w:val="00275314"/>
    <w:rsid w:val="00277915"/>
    <w:rsid w:val="00281508"/>
    <w:rsid w:val="00281677"/>
    <w:rsid w:val="002849E8"/>
    <w:rsid w:val="002918F6"/>
    <w:rsid w:val="0029369F"/>
    <w:rsid w:val="00293D7F"/>
    <w:rsid w:val="00296FE6"/>
    <w:rsid w:val="002A0E4B"/>
    <w:rsid w:val="002A3AA2"/>
    <w:rsid w:val="002A4ADE"/>
    <w:rsid w:val="002A52D1"/>
    <w:rsid w:val="002A5D56"/>
    <w:rsid w:val="002A66DF"/>
    <w:rsid w:val="002A6CC4"/>
    <w:rsid w:val="002B4322"/>
    <w:rsid w:val="002B73DE"/>
    <w:rsid w:val="002C36A8"/>
    <w:rsid w:val="002C4369"/>
    <w:rsid w:val="002C483C"/>
    <w:rsid w:val="002C535A"/>
    <w:rsid w:val="002C5DD4"/>
    <w:rsid w:val="002D6819"/>
    <w:rsid w:val="002E10AD"/>
    <w:rsid w:val="002E2180"/>
    <w:rsid w:val="002F158E"/>
    <w:rsid w:val="002F7867"/>
    <w:rsid w:val="003005C5"/>
    <w:rsid w:val="00300F06"/>
    <w:rsid w:val="00306B07"/>
    <w:rsid w:val="00306CE3"/>
    <w:rsid w:val="00311514"/>
    <w:rsid w:val="00317442"/>
    <w:rsid w:val="00321BB1"/>
    <w:rsid w:val="003307D8"/>
    <w:rsid w:val="00334DD5"/>
    <w:rsid w:val="00340738"/>
    <w:rsid w:val="0034211D"/>
    <w:rsid w:val="00342142"/>
    <w:rsid w:val="0034760E"/>
    <w:rsid w:val="00347EE5"/>
    <w:rsid w:val="00352214"/>
    <w:rsid w:val="00357D43"/>
    <w:rsid w:val="003618C7"/>
    <w:rsid w:val="00362172"/>
    <w:rsid w:val="00362E1C"/>
    <w:rsid w:val="00364128"/>
    <w:rsid w:val="003658C4"/>
    <w:rsid w:val="00365F5C"/>
    <w:rsid w:val="00366209"/>
    <w:rsid w:val="00370C31"/>
    <w:rsid w:val="00376E86"/>
    <w:rsid w:val="0038164E"/>
    <w:rsid w:val="00387E5A"/>
    <w:rsid w:val="003912B6"/>
    <w:rsid w:val="003919D9"/>
    <w:rsid w:val="00392B22"/>
    <w:rsid w:val="00393135"/>
    <w:rsid w:val="00396628"/>
    <w:rsid w:val="003978DC"/>
    <w:rsid w:val="003A3DD0"/>
    <w:rsid w:val="003A4014"/>
    <w:rsid w:val="003A5998"/>
    <w:rsid w:val="003B02A8"/>
    <w:rsid w:val="003B20C6"/>
    <w:rsid w:val="003B613B"/>
    <w:rsid w:val="003C0E7F"/>
    <w:rsid w:val="003C27E6"/>
    <w:rsid w:val="003C5488"/>
    <w:rsid w:val="003D1352"/>
    <w:rsid w:val="003D3703"/>
    <w:rsid w:val="003D66B4"/>
    <w:rsid w:val="003E215D"/>
    <w:rsid w:val="003E3A2B"/>
    <w:rsid w:val="003E71DB"/>
    <w:rsid w:val="003E7D09"/>
    <w:rsid w:val="003F034F"/>
    <w:rsid w:val="003F2D4C"/>
    <w:rsid w:val="003F5127"/>
    <w:rsid w:val="003F6A3A"/>
    <w:rsid w:val="003F6A84"/>
    <w:rsid w:val="003F6E01"/>
    <w:rsid w:val="004016AF"/>
    <w:rsid w:val="00410A10"/>
    <w:rsid w:val="00413B62"/>
    <w:rsid w:val="0041427A"/>
    <w:rsid w:val="00414F5F"/>
    <w:rsid w:val="004156C1"/>
    <w:rsid w:val="00417888"/>
    <w:rsid w:val="004228B9"/>
    <w:rsid w:val="00422CD9"/>
    <w:rsid w:val="00423075"/>
    <w:rsid w:val="00424DCF"/>
    <w:rsid w:val="0042550E"/>
    <w:rsid w:val="004266E8"/>
    <w:rsid w:val="0043116E"/>
    <w:rsid w:val="00431190"/>
    <w:rsid w:val="00432158"/>
    <w:rsid w:val="00435F00"/>
    <w:rsid w:val="00444499"/>
    <w:rsid w:val="004454E2"/>
    <w:rsid w:val="00445FBA"/>
    <w:rsid w:val="00450C23"/>
    <w:rsid w:val="0045241C"/>
    <w:rsid w:val="00452C6C"/>
    <w:rsid w:val="00466E34"/>
    <w:rsid w:val="0046765F"/>
    <w:rsid w:val="00471035"/>
    <w:rsid w:val="0047284E"/>
    <w:rsid w:val="00480157"/>
    <w:rsid w:val="0048266E"/>
    <w:rsid w:val="00484079"/>
    <w:rsid w:val="004872D7"/>
    <w:rsid w:val="00491386"/>
    <w:rsid w:val="00497D0C"/>
    <w:rsid w:val="00497ED1"/>
    <w:rsid w:val="004A421B"/>
    <w:rsid w:val="004A486C"/>
    <w:rsid w:val="004A4F20"/>
    <w:rsid w:val="004A6121"/>
    <w:rsid w:val="004A6FE4"/>
    <w:rsid w:val="004C0C1D"/>
    <w:rsid w:val="004C2766"/>
    <w:rsid w:val="004C4878"/>
    <w:rsid w:val="004C78ED"/>
    <w:rsid w:val="004E0B5D"/>
    <w:rsid w:val="004E0F78"/>
    <w:rsid w:val="004E7C36"/>
    <w:rsid w:val="004F0BD2"/>
    <w:rsid w:val="004F0C79"/>
    <w:rsid w:val="004F2359"/>
    <w:rsid w:val="004F7BBB"/>
    <w:rsid w:val="00501778"/>
    <w:rsid w:val="00502C2A"/>
    <w:rsid w:val="005049CE"/>
    <w:rsid w:val="00504BF2"/>
    <w:rsid w:val="00506330"/>
    <w:rsid w:val="00511B03"/>
    <w:rsid w:val="00516654"/>
    <w:rsid w:val="00522E1A"/>
    <w:rsid w:val="00530113"/>
    <w:rsid w:val="00530748"/>
    <w:rsid w:val="00535854"/>
    <w:rsid w:val="00541505"/>
    <w:rsid w:val="005449C9"/>
    <w:rsid w:val="005463B3"/>
    <w:rsid w:val="0054669A"/>
    <w:rsid w:val="00562BF9"/>
    <w:rsid w:val="005635A6"/>
    <w:rsid w:val="00566717"/>
    <w:rsid w:val="005739ED"/>
    <w:rsid w:val="00573E76"/>
    <w:rsid w:val="005759C2"/>
    <w:rsid w:val="00581F1A"/>
    <w:rsid w:val="005A15DD"/>
    <w:rsid w:val="005B0E9A"/>
    <w:rsid w:val="005B3A1F"/>
    <w:rsid w:val="005D0B77"/>
    <w:rsid w:val="005D2647"/>
    <w:rsid w:val="005D43CC"/>
    <w:rsid w:val="005D5C12"/>
    <w:rsid w:val="005D67AB"/>
    <w:rsid w:val="005D785E"/>
    <w:rsid w:val="005E17E9"/>
    <w:rsid w:val="005F624C"/>
    <w:rsid w:val="00602A4F"/>
    <w:rsid w:val="00605C11"/>
    <w:rsid w:val="00606BC3"/>
    <w:rsid w:val="00620B02"/>
    <w:rsid w:val="00621C12"/>
    <w:rsid w:val="00623831"/>
    <w:rsid w:val="00626199"/>
    <w:rsid w:val="0062707D"/>
    <w:rsid w:val="006350DA"/>
    <w:rsid w:val="00640A21"/>
    <w:rsid w:val="00641CAF"/>
    <w:rsid w:val="00642472"/>
    <w:rsid w:val="00646FA2"/>
    <w:rsid w:val="00647B6D"/>
    <w:rsid w:val="00653BD2"/>
    <w:rsid w:val="006576EB"/>
    <w:rsid w:val="0066671B"/>
    <w:rsid w:val="00670209"/>
    <w:rsid w:val="00671C2E"/>
    <w:rsid w:val="00673DDD"/>
    <w:rsid w:val="006757AF"/>
    <w:rsid w:val="00680739"/>
    <w:rsid w:val="006823B8"/>
    <w:rsid w:val="006830FD"/>
    <w:rsid w:val="00683B2A"/>
    <w:rsid w:val="00685D76"/>
    <w:rsid w:val="0068748F"/>
    <w:rsid w:val="00694C76"/>
    <w:rsid w:val="00696A42"/>
    <w:rsid w:val="006A1D9B"/>
    <w:rsid w:val="006A7976"/>
    <w:rsid w:val="006B2556"/>
    <w:rsid w:val="006B3D85"/>
    <w:rsid w:val="006B3ED2"/>
    <w:rsid w:val="006C11AC"/>
    <w:rsid w:val="006C6FD0"/>
    <w:rsid w:val="006D14A7"/>
    <w:rsid w:val="006D229A"/>
    <w:rsid w:val="006D6CC3"/>
    <w:rsid w:val="006E007B"/>
    <w:rsid w:val="006E090A"/>
    <w:rsid w:val="006E7392"/>
    <w:rsid w:val="006F04B2"/>
    <w:rsid w:val="006F45DB"/>
    <w:rsid w:val="006F5589"/>
    <w:rsid w:val="006F71D1"/>
    <w:rsid w:val="007009FE"/>
    <w:rsid w:val="0070106F"/>
    <w:rsid w:val="00706468"/>
    <w:rsid w:val="0070758D"/>
    <w:rsid w:val="00715C41"/>
    <w:rsid w:val="0071626D"/>
    <w:rsid w:val="007167D8"/>
    <w:rsid w:val="00717B8B"/>
    <w:rsid w:val="007218CE"/>
    <w:rsid w:val="007224D2"/>
    <w:rsid w:val="007232D4"/>
    <w:rsid w:val="00724541"/>
    <w:rsid w:val="007311C7"/>
    <w:rsid w:val="007408F5"/>
    <w:rsid w:val="00741BBA"/>
    <w:rsid w:val="007421BB"/>
    <w:rsid w:val="007421F8"/>
    <w:rsid w:val="0074443E"/>
    <w:rsid w:val="0074575A"/>
    <w:rsid w:val="00751D2E"/>
    <w:rsid w:val="007552A2"/>
    <w:rsid w:val="0076363F"/>
    <w:rsid w:val="0076757C"/>
    <w:rsid w:val="00772122"/>
    <w:rsid w:val="00773726"/>
    <w:rsid w:val="00776D38"/>
    <w:rsid w:val="007819A5"/>
    <w:rsid w:val="00781E68"/>
    <w:rsid w:val="0078297C"/>
    <w:rsid w:val="00785840"/>
    <w:rsid w:val="0078639C"/>
    <w:rsid w:val="00793110"/>
    <w:rsid w:val="0079764D"/>
    <w:rsid w:val="00797C15"/>
    <w:rsid w:val="007A074A"/>
    <w:rsid w:val="007A0BC3"/>
    <w:rsid w:val="007A1315"/>
    <w:rsid w:val="007A62A8"/>
    <w:rsid w:val="007B1C34"/>
    <w:rsid w:val="007B3632"/>
    <w:rsid w:val="007B6353"/>
    <w:rsid w:val="007C2F7B"/>
    <w:rsid w:val="007C673E"/>
    <w:rsid w:val="007D3A91"/>
    <w:rsid w:val="007D40C2"/>
    <w:rsid w:val="007E0908"/>
    <w:rsid w:val="007E3FD8"/>
    <w:rsid w:val="007E62B6"/>
    <w:rsid w:val="007E642B"/>
    <w:rsid w:val="007F558E"/>
    <w:rsid w:val="007F570A"/>
    <w:rsid w:val="00802470"/>
    <w:rsid w:val="00803351"/>
    <w:rsid w:val="008038FF"/>
    <w:rsid w:val="00803F13"/>
    <w:rsid w:val="0080526A"/>
    <w:rsid w:val="00807331"/>
    <w:rsid w:val="0081534F"/>
    <w:rsid w:val="0081739C"/>
    <w:rsid w:val="0082199C"/>
    <w:rsid w:val="00821E8D"/>
    <w:rsid w:val="0082404E"/>
    <w:rsid w:val="00827558"/>
    <w:rsid w:val="00835332"/>
    <w:rsid w:val="00836C74"/>
    <w:rsid w:val="008378F4"/>
    <w:rsid w:val="0084238E"/>
    <w:rsid w:val="008462D8"/>
    <w:rsid w:val="00847DCA"/>
    <w:rsid w:val="0085112B"/>
    <w:rsid w:val="008521B3"/>
    <w:rsid w:val="00856D78"/>
    <w:rsid w:val="00861A0F"/>
    <w:rsid w:val="00861EE5"/>
    <w:rsid w:val="008666AA"/>
    <w:rsid w:val="008767DF"/>
    <w:rsid w:val="00882C83"/>
    <w:rsid w:val="0088415C"/>
    <w:rsid w:val="0088754C"/>
    <w:rsid w:val="008957D8"/>
    <w:rsid w:val="00897E45"/>
    <w:rsid w:val="008A521A"/>
    <w:rsid w:val="008A5918"/>
    <w:rsid w:val="008B2244"/>
    <w:rsid w:val="008B3C44"/>
    <w:rsid w:val="008B6854"/>
    <w:rsid w:val="008C073D"/>
    <w:rsid w:val="008C1F07"/>
    <w:rsid w:val="008C64A8"/>
    <w:rsid w:val="008C660E"/>
    <w:rsid w:val="008D02F1"/>
    <w:rsid w:val="008D0E2E"/>
    <w:rsid w:val="008D12EC"/>
    <w:rsid w:val="008D14D5"/>
    <w:rsid w:val="008D45D5"/>
    <w:rsid w:val="008E3CD9"/>
    <w:rsid w:val="008E7BEE"/>
    <w:rsid w:val="008F08EC"/>
    <w:rsid w:val="008F5318"/>
    <w:rsid w:val="008F7D8A"/>
    <w:rsid w:val="00901348"/>
    <w:rsid w:val="0090152C"/>
    <w:rsid w:val="0090197E"/>
    <w:rsid w:val="00901E77"/>
    <w:rsid w:val="009021C7"/>
    <w:rsid w:val="009127E1"/>
    <w:rsid w:val="009133C9"/>
    <w:rsid w:val="00914F7D"/>
    <w:rsid w:val="00922C06"/>
    <w:rsid w:val="00923A1E"/>
    <w:rsid w:val="00926301"/>
    <w:rsid w:val="00927AEA"/>
    <w:rsid w:val="00930C72"/>
    <w:rsid w:val="00931016"/>
    <w:rsid w:val="00931CD5"/>
    <w:rsid w:val="00932844"/>
    <w:rsid w:val="00933C48"/>
    <w:rsid w:val="009350F6"/>
    <w:rsid w:val="00937128"/>
    <w:rsid w:val="00937650"/>
    <w:rsid w:val="00944210"/>
    <w:rsid w:val="0095084A"/>
    <w:rsid w:val="00970533"/>
    <w:rsid w:val="0097061F"/>
    <w:rsid w:val="00980232"/>
    <w:rsid w:val="00980A67"/>
    <w:rsid w:val="00982AC3"/>
    <w:rsid w:val="00985C68"/>
    <w:rsid w:val="009860CD"/>
    <w:rsid w:val="00991406"/>
    <w:rsid w:val="009A5646"/>
    <w:rsid w:val="009B5072"/>
    <w:rsid w:val="009C0F16"/>
    <w:rsid w:val="009C304F"/>
    <w:rsid w:val="009C3E4D"/>
    <w:rsid w:val="009D0C4B"/>
    <w:rsid w:val="009D0CE1"/>
    <w:rsid w:val="009D1675"/>
    <w:rsid w:val="009D2207"/>
    <w:rsid w:val="009D2445"/>
    <w:rsid w:val="009D4382"/>
    <w:rsid w:val="009D7494"/>
    <w:rsid w:val="009E0EA9"/>
    <w:rsid w:val="009E20B5"/>
    <w:rsid w:val="009E2207"/>
    <w:rsid w:val="009E45C0"/>
    <w:rsid w:val="009E5F95"/>
    <w:rsid w:val="009E604A"/>
    <w:rsid w:val="009E6C92"/>
    <w:rsid w:val="009F0320"/>
    <w:rsid w:val="009F50EC"/>
    <w:rsid w:val="00A00D5E"/>
    <w:rsid w:val="00A0136A"/>
    <w:rsid w:val="00A15C97"/>
    <w:rsid w:val="00A16FD8"/>
    <w:rsid w:val="00A171C7"/>
    <w:rsid w:val="00A17C4D"/>
    <w:rsid w:val="00A21EDA"/>
    <w:rsid w:val="00A23706"/>
    <w:rsid w:val="00A24CE6"/>
    <w:rsid w:val="00A31318"/>
    <w:rsid w:val="00A32ACE"/>
    <w:rsid w:val="00A33964"/>
    <w:rsid w:val="00A43E06"/>
    <w:rsid w:val="00A45258"/>
    <w:rsid w:val="00A5173E"/>
    <w:rsid w:val="00A53D13"/>
    <w:rsid w:val="00A63AD3"/>
    <w:rsid w:val="00A65EAE"/>
    <w:rsid w:val="00A67497"/>
    <w:rsid w:val="00A72E42"/>
    <w:rsid w:val="00A76D8E"/>
    <w:rsid w:val="00AA129B"/>
    <w:rsid w:val="00AA6601"/>
    <w:rsid w:val="00AA6960"/>
    <w:rsid w:val="00AB151D"/>
    <w:rsid w:val="00AB33B4"/>
    <w:rsid w:val="00AC7CE4"/>
    <w:rsid w:val="00AD0962"/>
    <w:rsid w:val="00AD1212"/>
    <w:rsid w:val="00AD229C"/>
    <w:rsid w:val="00AD5E92"/>
    <w:rsid w:val="00AE115D"/>
    <w:rsid w:val="00AE31A4"/>
    <w:rsid w:val="00AE4349"/>
    <w:rsid w:val="00B00C7D"/>
    <w:rsid w:val="00B03163"/>
    <w:rsid w:val="00B065BE"/>
    <w:rsid w:val="00B06CC6"/>
    <w:rsid w:val="00B10A31"/>
    <w:rsid w:val="00B10FCE"/>
    <w:rsid w:val="00B113CF"/>
    <w:rsid w:val="00B12835"/>
    <w:rsid w:val="00B17053"/>
    <w:rsid w:val="00B200E4"/>
    <w:rsid w:val="00B22A12"/>
    <w:rsid w:val="00B2378A"/>
    <w:rsid w:val="00B25A35"/>
    <w:rsid w:val="00B27C37"/>
    <w:rsid w:val="00B35E2B"/>
    <w:rsid w:val="00B40F4C"/>
    <w:rsid w:val="00B42D56"/>
    <w:rsid w:val="00B467EE"/>
    <w:rsid w:val="00B5272F"/>
    <w:rsid w:val="00B55760"/>
    <w:rsid w:val="00B626B1"/>
    <w:rsid w:val="00B645FD"/>
    <w:rsid w:val="00B66258"/>
    <w:rsid w:val="00B67EA3"/>
    <w:rsid w:val="00B731CC"/>
    <w:rsid w:val="00B80BE1"/>
    <w:rsid w:val="00B815D8"/>
    <w:rsid w:val="00B81957"/>
    <w:rsid w:val="00B8442A"/>
    <w:rsid w:val="00B848EF"/>
    <w:rsid w:val="00B85DB6"/>
    <w:rsid w:val="00B86111"/>
    <w:rsid w:val="00BA5998"/>
    <w:rsid w:val="00BA5A71"/>
    <w:rsid w:val="00BA67E2"/>
    <w:rsid w:val="00BC268A"/>
    <w:rsid w:val="00BC7E3B"/>
    <w:rsid w:val="00BD08A1"/>
    <w:rsid w:val="00BD1039"/>
    <w:rsid w:val="00BD1C81"/>
    <w:rsid w:val="00BD26FF"/>
    <w:rsid w:val="00BD4417"/>
    <w:rsid w:val="00BD54A7"/>
    <w:rsid w:val="00BE59CB"/>
    <w:rsid w:val="00BE5D21"/>
    <w:rsid w:val="00BF5A93"/>
    <w:rsid w:val="00BF72C7"/>
    <w:rsid w:val="00C00C3B"/>
    <w:rsid w:val="00C01F7A"/>
    <w:rsid w:val="00C06A0A"/>
    <w:rsid w:val="00C07AF6"/>
    <w:rsid w:val="00C10FC2"/>
    <w:rsid w:val="00C119A0"/>
    <w:rsid w:val="00C16681"/>
    <w:rsid w:val="00C1739C"/>
    <w:rsid w:val="00C21F86"/>
    <w:rsid w:val="00C24F3A"/>
    <w:rsid w:val="00C30790"/>
    <w:rsid w:val="00C32664"/>
    <w:rsid w:val="00C32CAD"/>
    <w:rsid w:val="00C443C3"/>
    <w:rsid w:val="00C515A9"/>
    <w:rsid w:val="00C54A8F"/>
    <w:rsid w:val="00C568B6"/>
    <w:rsid w:val="00C604BA"/>
    <w:rsid w:val="00C60EED"/>
    <w:rsid w:val="00C75C6A"/>
    <w:rsid w:val="00C80CD0"/>
    <w:rsid w:val="00C85CDF"/>
    <w:rsid w:val="00C91D93"/>
    <w:rsid w:val="00C94557"/>
    <w:rsid w:val="00C95105"/>
    <w:rsid w:val="00C95CA0"/>
    <w:rsid w:val="00C97FCA"/>
    <w:rsid w:val="00CA5313"/>
    <w:rsid w:val="00CA531E"/>
    <w:rsid w:val="00CA64AF"/>
    <w:rsid w:val="00CB1CA8"/>
    <w:rsid w:val="00CB5D27"/>
    <w:rsid w:val="00CC0906"/>
    <w:rsid w:val="00CC1C29"/>
    <w:rsid w:val="00CC27CF"/>
    <w:rsid w:val="00CC32A5"/>
    <w:rsid w:val="00CC7253"/>
    <w:rsid w:val="00CC732C"/>
    <w:rsid w:val="00CD1B06"/>
    <w:rsid w:val="00CD2FD7"/>
    <w:rsid w:val="00CD313C"/>
    <w:rsid w:val="00CD4E7E"/>
    <w:rsid w:val="00CD700D"/>
    <w:rsid w:val="00CE40F4"/>
    <w:rsid w:val="00CE4E24"/>
    <w:rsid w:val="00CE7F17"/>
    <w:rsid w:val="00D02E53"/>
    <w:rsid w:val="00D03847"/>
    <w:rsid w:val="00D03E30"/>
    <w:rsid w:val="00D04BEA"/>
    <w:rsid w:val="00D04EE8"/>
    <w:rsid w:val="00D04F91"/>
    <w:rsid w:val="00D056E2"/>
    <w:rsid w:val="00D06908"/>
    <w:rsid w:val="00D14419"/>
    <w:rsid w:val="00D16C75"/>
    <w:rsid w:val="00D234AB"/>
    <w:rsid w:val="00D3247D"/>
    <w:rsid w:val="00D347F8"/>
    <w:rsid w:val="00D354B7"/>
    <w:rsid w:val="00D46B25"/>
    <w:rsid w:val="00D54640"/>
    <w:rsid w:val="00D60FB1"/>
    <w:rsid w:val="00D67698"/>
    <w:rsid w:val="00D7081E"/>
    <w:rsid w:val="00D71435"/>
    <w:rsid w:val="00D87E4D"/>
    <w:rsid w:val="00D90566"/>
    <w:rsid w:val="00D96AD6"/>
    <w:rsid w:val="00DA61E2"/>
    <w:rsid w:val="00DA6AA8"/>
    <w:rsid w:val="00DA6F51"/>
    <w:rsid w:val="00DB45B8"/>
    <w:rsid w:val="00DB4B05"/>
    <w:rsid w:val="00DB5947"/>
    <w:rsid w:val="00DB6501"/>
    <w:rsid w:val="00DC32CE"/>
    <w:rsid w:val="00DC4F55"/>
    <w:rsid w:val="00DC5F0C"/>
    <w:rsid w:val="00DC719C"/>
    <w:rsid w:val="00DE2A58"/>
    <w:rsid w:val="00DE2F84"/>
    <w:rsid w:val="00DE4B8F"/>
    <w:rsid w:val="00DF2379"/>
    <w:rsid w:val="00DF4370"/>
    <w:rsid w:val="00DF5C03"/>
    <w:rsid w:val="00E028BF"/>
    <w:rsid w:val="00E02B0C"/>
    <w:rsid w:val="00E13D59"/>
    <w:rsid w:val="00E16B65"/>
    <w:rsid w:val="00E2445B"/>
    <w:rsid w:val="00E25D48"/>
    <w:rsid w:val="00E3512D"/>
    <w:rsid w:val="00E40992"/>
    <w:rsid w:val="00E443B1"/>
    <w:rsid w:val="00E51CB6"/>
    <w:rsid w:val="00E53930"/>
    <w:rsid w:val="00E558AC"/>
    <w:rsid w:val="00E568D5"/>
    <w:rsid w:val="00E5775F"/>
    <w:rsid w:val="00E61216"/>
    <w:rsid w:val="00E6130C"/>
    <w:rsid w:val="00E61BEC"/>
    <w:rsid w:val="00E82191"/>
    <w:rsid w:val="00E87DDD"/>
    <w:rsid w:val="00E959C4"/>
    <w:rsid w:val="00EA3C4E"/>
    <w:rsid w:val="00EB06D8"/>
    <w:rsid w:val="00EB28C9"/>
    <w:rsid w:val="00EB4D17"/>
    <w:rsid w:val="00EB542C"/>
    <w:rsid w:val="00EC1391"/>
    <w:rsid w:val="00EC239E"/>
    <w:rsid w:val="00EC6084"/>
    <w:rsid w:val="00EC7358"/>
    <w:rsid w:val="00EC73C7"/>
    <w:rsid w:val="00ED65C6"/>
    <w:rsid w:val="00ED7F57"/>
    <w:rsid w:val="00EE345B"/>
    <w:rsid w:val="00EE69A1"/>
    <w:rsid w:val="00EE751C"/>
    <w:rsid w:val="00EF0C93"/>
    <w:rsid w:val="00EF3508"/>
    <w:rsid w:val="00F02BCC"/>
    <w:rsid w:val="00F03E21"/>
    <w:rsid w:val="00F04E99"/>
    <w:rsid w:val="00F12486"/>
    <w:rsid w:val="00F13550"/>
    <w:rsid w:val="00F147C5"/>
    <w:rsid w:val="00F1492C"/>
    <w:rsid w:val="00F15F75"/>
    <w:rsid w:val="00F16369"/>
    <w:rsid w:val="00F17CE6"/>
    <w:rsid w:val="00F20D6D"/>
    <w:rsid w:val="00F25294"/>
    <w:rsid w:val="00F26138"/>
    <w:rsid w:val="00F363AC"/>
    <w:rsid w:val="00F42608"/>
    <w:rsid w:val="00F45C70"/>
    <w:rsid w:val="00F5107B"/>
    <w:rsid w:val="00F554BD"/>
    <w:rsid w:val="00F55F37"/>
    <w:rsid w:val="00F56396"/>
    <w:rsid w:val="00F60F74"/>
    <w:rsid w:val="00F707A6"/>
    <w:rsid w:val="00F75AA2"/>
    <w:rsid w:val="00F81C6A"/>
    <w:rsid w:val="00F8695C"/>
    <w:rsid w:val="00F86F75"/>
    <w:rsid w:val="00F94C82"/>
    <w:rsid w:val="00FA2DFF"/>
    <w:rsid w:val="00FA7824"/>
    <w:rsid w:val="00FA7B67"/>
    <w:rsid w:val="00FB0D16"/>
    <w:rsid w:val="00FB5E1E"/>
    <w:rsid w:val="00FC5382"/>
    <w:rsid w:val="00FC621C"/>
    <w:rsid w:val="00FD3514"/>
    <w:rsid w:val="00FD3CBD"/>
    <w:rsid w:val="00FE0713"/>
    <w:rsid w:val="00FE7D7D"/>
    <w:rsid w:val="00FF7EE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CAEBE"/>
  <w15:docId w15:val="{46BDEFEE-3F4D-4063-A7E9-732C0C52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07"/>
    <w:pPr>
      <w:widowControl w:val="0"/>
      <w:spacing w:before="160" w:line="276" w:lineRule="auto"/>
      <w:jc w:val="both"/>
    </w:pPr>
    <w:rPr>
      <w:rFonts w:ascii="Arial" w:hAnsi="Arial" w:cs="Times New Roman"/>
      <w:sz w:val="24"/>
      <w:lang w:val="es-MX"/>
    </w:rPr>
  </w:style>
  <w:style w:type="paragraph" w:styleId="Ttulo1">
    <w:name w:val="heading 1"/>
    <w:basedOn w:val="Prrafodelista"/>
    <w:next w:val="Normal"/>
    <w:link w:val="Ttulo1Car"/>
    <w:uiPriority w:val="9"/>
    <w:qFormat/>
    <w:rsid w:val="00640A21"/>
    <w:pPr>
      <w:numPr>
        <w:numId w:val="2"/>
      </w:numPr>
      <w:spacing w:before="360" w:after="360"/>
      <w:contextualSpacing w:val="0"/>
      <w:outlineLvl w:val="0"/>
    </w:pPr>
    <w:rPr>
      <w:b/>
      <w:bCs/>
      <w:i/>
      <w:iCs/>
      <w:smallCaps/>
    </w:rPr>
  </w:style>
  <w:style w:type="paragraph" w:styleId="Ttulo2">
    <w:name w:val="heading 2"/>
    <w:basedOn w:val="Prrafodelista"/>
    <w:next w:val="Normal"/>
    <w:link w:val="Ttulo2Car"/>
    <w:uiPriority w:val="9"/>
    <w:unhideWhenUsed/>
    <w:qFormat/>
    <w:rsid w:val="00BD08A1"/>
    <w:pPr>
      <w:numPr>
        <w:ilvl w:val="1"/>
        <w:numId w:val="2"/>
      </w:numPr>
      <w:spacing w:before="360" w:after="360"/>
      <w:ind w:left="709" w:hanging="709"/>
      <w:contextualSpacing w:val="0"/>
      <w:outlineLvl w:val="1"/>
    </w:pPr>
    <w:rPr>
      <w:b/>
      <w:bCs/>
      <w:i/>
      <w:iCs/>
      <w:sz w:val="22"/>
      <w:lang w:val="es-ES_tradnl"/>
    </w:rPr>
  </w:style>
  <w:style w:type="paragraph" w:styleId="Ttulo3">
    <w:name w:val="heading 3"/>
    <w:basedOn w:val="Prrafodelista"/>
    <w:next w:val="Normal"/>
    <w:link w:val="Ttulo3Car"/>
    <w:uiPriority w:val="9"/>
    <w:unhideWhenUsed/>
    <w:qFormat/>
    <w:rsid w:val="00BD08A1"/>
    <w:pPr>
      <w:numPr>
        <w:ilvl w:val="2"/>
        <w:numId w:val="2"/>
      </w:numPr>
      <w:spacing w:before="360" w:after="360"/>
      <w:ind w:left="709"/>
      <w:contextualSpacing w:val="0"/>
      <w:outlineLvl w:val="2"/>
    </w:pPr>
    <w:rPr>
      <w:b/>
      <w:bCs/>
      <w:sz w:val="22"/>
      <w:lang w:val="es-ES_tradnl"/>
    </w:rPr>
  </w:style>
  <w:style w:type="paragraph" w:styleId="Ttulo4">
    <w:name w:val="heading 4"/>
    <w:basedOn w:val="Prrafodelista"/>
    <w:next w:val="Normal"/>
    <w:link w:val="Ttulo4Car"/>
    <w:uiPriority w:val="9"/>
    <w:unhideWhenUsed/>
    <w:qFormat/>
    <w:rsid w:val="00640A21"/>
    <w:pPr>
      <w:numPr>
        <w:ilvl w:val="3"/>
        <w:numId w:val="2"/>
      </w:numPr>
      <w:spacing w:before="360" w:after="360"/>
      <w:ind w:left="709"/>
      <w:contextualSpacing w:val="0"/>
      <w:outlineLvl w:val="3"/>
    </w:pPr>
    <w:rPr>
      <w:smallCaps/>
    </w:rPr>
  </w:style>
  <w:style w:type="paragraph" w:styleId="Ttulo5">
    <w:name w:val="heading 5"/>
    <w:basedOn w:val="Prrafodelista"/>
    <w:next w:val="Normal"/>
    <w:link w:val="Ttulo5Car"/>
    <w:uiPriority w:val="9"/>
    <w:unhideWhenUsed/>
    <w:qFormat/>
    <w:rsid w:val="00A53D13"/>
    <w:pPr>
      <w:numPr>
        <w:ilvl w:val="4"/>
        <w:numId w:val="2"/>
      </w:numPr>
      <w:spacing w:before="360" w:after="360"/>
      <w:ind w:left="1134" w:hanging="1134"/>
      <w:contextualSpacing w:val="0"/>
      <w:outlineLvl w:val="4"/>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E9A"/>
    <w:pPr>
      <w:ind w:left="720"/>
      <w:contextualSpacing/>
    </w:pPr>
  </w:style>
  <w:style w:type="character" w:customStyle="1" w:styleId="Ttulo1Car">
    <w:name w:val="Título 1 Car"/>
    <w:basedOn w:val="Fuentedeprrafopredeter"/>
    <w:link w:val="Ttulo1"/>
    <w:uiPriority w:val="9"/>
    <w:rsid w:val="00640A21"/>
    <w:rPr>
      <w:rFonts w:ascii="Times New Roman" w:hAnsi="Times New Roman" w:cs="Times New Roman"/>
      <w:b/>
      <w:bCs/>
      <w:i/>
      <w:iCs/>
      <w:smallCaps/>
      <w:lang w:val="es-MX"/>
    </w:rPr>
  </w:style>
  <w:style w:type="character" w:customStyle="1" w:styleId="Ttulo2Car">
    <w:name w:val="Título 2 Car"/>
    <w:basedOn w:val="Fuentedeprrafopredeter"/>
    <w:link w:val="Ttulo2"/>
    <w:uiPriority w:val="9"/>
    <w:rsid w:val="00BD08A1"/>
    <w:rPr>
      <w:rFonts w:ascii="Arial" w:hAnsi="Arial" w:cs="Times New Roman"/>
      <w:b/>
      <w:bCs/>
      <w:i/>
      <w:iCs/>
      <w:lang w:val="es-ES_tradnl"/>
    </w:rPr>
  </w:style>
  <w:style w:type="character" w:customStyle="1" w:styleId="Ttulo3Car">
    <w:name w:val="Título 3 Car"/>
    <w:basedOn w:val="Fuentedeprrafopredeter"/>
    <w:link w:val="Ttulo3"/>
    <w:uiPriority w:val="9"/>
    <w:rsid w:val="00BD08A1"/>
    <w:rPr>
      <w:rFonts w:ascii="Arial" w:hAnsi="Arial" w:cs="Times New Roman"/>
      <w:b/>
      <w:bCs/>
      <w:lang w:val="es-ES_tradnl"/>
    </w:rPr>
  </w:style>
  <w:style w:type="character" w:customStyle="1" w:styleId="Ttulo4Car">
    <w:name w:val="Título 4 Car"/>
    <w:basedOn w:val="Fuentedeprrafopredeter"/>
    <w:link w:val="Ttulo4"/>
    <w:uiPriority w:val="9"/>
    <w:rsid w:val="00640A21"/>
    <w:rPr>
      <w:rFonts w:ascii="Times New Roman" w:hAnsi="Times New Roman" w:cs="Times New Roman"/>
      <w:smallCaps/>
      <w:lang w:val="es-MX"/>
    </w:rPr>
  </w:style>
  <w:style w:type="character" w:customStyle="1" w:styleId="Ttulo5Car">
    <w:name w:val="Título 5 Car"/>
    <w:basedOn w:val="Fuentedeprrafopredeter"/>
    <w:link w:val="Ttulo5"/>
    <w:uiPriority w:val="9"/>
    <w:rsid w:val="00A53D13"/>
    <w:rPr>
      <w:rFonts w:ascii="Times New Roman" w:hAnsi="Times New Roman" w:cs="Times New Roman"/>
      <w:i/>
      <w:iCs/>
      <w:lang w:val="es-MX"/>
    </w:rPr>
  </w:style>
  <w:style w:type="paragraph" w:styleId="Textonotapie">
    <w:name w:val="footnote text"/>
    <w:basedOn w:val="Normal"/>
    <w:link w:val="TextonotapieCar"/>
    <w:uiPriority w:val="99"/>
    <w:unhideWhenUsed/>
    <w:rsid w:val="00BD08A1"/>
    <w:pPr>
      <w:spacing w:before="0" w:after="0" w:line="240" w:lineRule="auto"/>
    </w:pPr>
    <w:rPr>
      <w:sz w:val="18"/>
      <w:szCs w:val="20"/>
    </w:rPr>
  </w:style>
  <w:style w:type="character" w:customStyle="1" w:styleId="TextonotapieCar">
    <w:name w:val="Texto nota pie Car"/>
    <w:basedOn w:val="Fuentedeprrafopredeter"/>
    <w:link w:val="Textonotapie"/>
    <w:uiPriority w:val="99"/>
    <w:qFormat/>
    <w:rsid w:val="00BD08A1"/>
    <w:rPr>
      <w:rFonts w:ascii="Arial" w:hAnsi="Arial" w:cs="Times New Roman"/>
      <w:sz w:val="18"/>
      <w:szCs w:val="20"/>
      <w:lang w:val="es-MX"/>
    </w:rPr>
  </w:style>
  <w:style w:type="character" w:styleId="Refdenotaalpie">
    <w:name w:val="footnote reference"/>
    <w:basedOn w:val="Fuentedeprrafopredeter"/>
    <w:uiPriority w:val="99"/>
    <w:semiHidden/>
    <w:unhideWhenUsed/>
    <w:rsid w:val="004E0B5D"/>
    <w:rPr>
      <w:vertAlign w:val="superscript"/>
    </w:rPr>
  </w:style>
  <w:style w:type="paragraph" w:styleId="TtuloTDC">
    <w:name w:val="TOC Heading"/>
    <w:basedOn w:val="Ttulo1"/>
    <w:next w:val="Normal"/>
    <w:uiPriority w:val="39"/>
    <w:unhideWhenUsed/>
    <w:qFormat/>
    <w:rsid w:val="0074443E"/>
    <w:pPr>
      <w:keepNext/>
      <w:keepLines/>
      <w:numPr>
        <w:numId w:val="0"/>
      </w:numPr>
      <w:spacing w:before="240" w:after="0"/>
      <w:outlineLvl w:val="9"/>
    </w:pPr>
    <w:rPr>
      <w:rFonts w:asciiTheme="majorHAnsi" w:eastAsiaTheme="majorEastAsia" w:hAnsiTheme="majorHAnsi" w:cstheme="majorBidi"/>
      <w:b w:val="0"/>
      <w:bCs w:val="0"/>
      <w:color w:val="2F5496" w:themeColor="accent1" w:themeShade="BF"/>
      <w:sz w:val="32"/>
      <w:szCs w:val="32"/>
      <w:lang w:val="es-PY" w:eastAsia="es-PY"/>
    </w:rPr>
  </w:style>
  <w:style w:type="paragraph" w:styleId="TDC1">
    <w:name w:val="toc 1"/>
    <w:basedOn w:val="Normal"/>
    <w:next w:val="Normal"/>
    <w:autoRedefine/>
    <w:uiPriority w:val="39"/>
    <w:unhideWhenUsed/>
    <w:rsid w:val="008D02F1"/>
    <w:pPr>
      <w:tabs>
        <w:tab w:val="left" w:pos="440"/>
        <w:tab w:val="right" w:leader="dot" w:pos="9072"/>
      </w:tabs>
      <w:spacing w:after="100"/>
      <w:ind w:right="425"/>
    </w:pPr>
  </w:style>
  <w:style w:type="paragraph" w:styleId="TDC2">
    <w:name w:val="toc 2"/>
    <w:basedOn w:val="Normal"/>
    <w:next w:val="Normal"/>
    <w:autoRedefine/>
    <w:uiPriority w:val="39"/>
    <w:unhideWhenUsed/>
    <w:rsid w:val="004872D7"/>
    <w:pPr>
      <w:tabs>
        <w:tab w:val="left" w:pos="880"/>
        <w:tab w:val="right" w:leader="dot" w:pos="9062"/>
      </w:tabs>
      <w:spacing w:after="100"/>
      <w:ind w:left="220"/>
    </w:pPr>
  </w:style>
  <w:style w:type="paragraph" w:styleId="TDC3">
    <w:name w:val="toc 3"/>
    <w:basedOn w:val="Normal"/>
    <w:next w:val="Normal"/>
    <w:autoRedefine/>
    <w:uiPriority w:val="39"/>
    <w:unhideWhenUsed/>
    <w:rsid w:val="00B5272F"/>
    <w:pPr>
      <w:tabs>
        <w:tab w:val="left" w:pos="1320"/>
        <w:tab w:val="right" w:leader="dot" w:pos="8921"/>
      </w:tabs>
      <w:spacing w:after="100"/>
      <w:ind w:left="440"/>
    </w:pPr>
  </w:style>
  <w:style w:type="character" w:styleId="Hipervnculo">
    <w:name w:val="Hyperlink"/>
    <w:basedOn w:val="Fuentedeprrafopredeter"/>
    <w:uiPriority w:val="99"/>
    <w:unhideWhenUsed/>
    <w:rsid w:val="0074443E"/>
    <w:rPr>
      <w:color w:val="0563C1" w:themeColor="hyperlink"/>
      <w:u w:val="single"/>
    </w:rPr>
  </w:style>
  <w:style w:type="character" w:styleId="Mencinsinresolver">
    <w:name w:val="Unresolved Mention"/>
    <w:basedOn w:val="Fuentedeprrafopredeter"/>
    <w:uiPriority w:val="99"/>
    <w:semiHidden/>
    <w:unhideWhenUsed/>
    <w:rsid w:val="00640A21"/>
    <w:rPr>
      <w:color w:val="605E5C"/>
      <w:shd w:val="clear" w:color="auto" w:fill="E1DFDD"/>
    </w:rPr>
  </w:style>
  <w:style w:type="character" w:customStyle="1" w:styleId="apple-tab-span">
    <w:name w:val="apple-tab-span"/>
    <w:basedOn w:val="Fuentedeprrafopredeter"/>
    <w:rsid w:val="00FC5382"/>
  </w:style>
  <w:style w:type="paragraph" w:styleId="Encabezado">
    <w:name w:val="header"/>
    <w:basedOn w:val="Normal"/>
    <w:link w:val="EncabezadoCar"/>
    <w:uiPriority w:val="99"/>
    <w:unhideWhenUsed/>
    <w:rsid w:val="00C1739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1739C"/>
    <w:rPr>
      <w:rFonts w:ascii="Arial" w:hAnsi="Arial" w:cs="Times New Roman"/>
      <w:sz w:val="24"/>
      <w:lang w:val="es-MX"/>
    </w:rPr>
  </w:style>
  <w:style w:type="paragraph" w:styleId="Piedepgina">
    <w:name w:val="footer"/>
    <w:basedOn w:val="Normal"/>
    <w:link w:val="PiedepginaCar"/>
    <w:uiPriority w:val="99"/>
    <w:unhideWhenUsed/>
    <w:rsid w:val="00C1739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qFormat/>
    <w:rsid w:val="00C1739C"/>
    <w:rPr>
      <w:rFonts w:ascii="Arial" w:hAnsi="Arial" w:cs="Times New Roman"/>
      <w:sz w:val="24"/>
      <w:lang w:val="es-MX"/>
    </w:rPr>
  </w:style>
  <w:style w:type="character" w:styleId="Nmerodepgina">
    <w:name w:val="page number"/>
    <w:basedOn w:val="Fuentedeprrafopredeter"/>
    <w:uiPriority w:val="99"/>
    <w:semiHidden/>
    <w:unhideWhenUsed/>
    <w:rsid w:val="00C1739C"/>
  </w:style>
  <w:style w:type="table" w:styleId="Tablaconcuadrcula">
    <w:name w:val="Table Grid"/>
    <w:basedOn w:val="Tablanormal"/>
    <w:uiPriority w:val="39"/>
    <w:rsid w:val="00A2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450C23"/>
  </w:style>
  <w:style w:type="paragraph" w:styleId="TDC4">
    <w:name w:val="toc 4"/>
    <w:basedOn w:val="Normal"/>
    <w:next w:val="Normal"/>
    <w:autoRedefine/>
    <w:uiPriority w:val="39"/>
    <w:unhideWhenUsed/>
    <w:rsid w:val="00C06A0A"/>
    <w:pPr>
      <w:tabs>
        <w:tab w:val="left" w:pos="1760"/>
        <w:tab w:val="right" w:leader="dot" w:pos="8921"/>
        <w:tab w:val="right" w:leader="dot" w:pos="9072"/>
      </w:tabs>
      <w:spacing w:after="100"/>
      <w:ind w:left="720" w:right="425"/>
    </w:pPr>
  </w:style>
  <w:style w:type="paragraph" w:styleId="Revisin">
    <w:name w:val="Revision"/>
    <w:hidden/>
    <w:uiPriority w:val="99"/>
    <w:semiHidden/>
    <w:rsid w:val="00370C31"/>
    <w:pPr>
      <w:spacing w:after="0" w:line="240" w:lineRule="auto"/>
    </w:pPr>
    <w:rPr>
      <w:rFonts w:ascii="Arial" w:hAnsi="Arial" w:cs="Times New Roman"/>
      <w:sz w:val="24"/>
      <w:lang w:val="es-MX"/>
    </w:rPr>
  </w:style>
  <w:style w:type="paragraph" w:customStyle="1" w:styleId="CuerpoA">
    <w:name w:val="Cuerpo A"/>
    <w:rsid w:val="002F158E"/>
    <w:pPr>
      <w:pBdr>
        <w:top w:val="nil"/>
        <w:left w:val="nil"/>
        <w:bottom w:val="nil"/>
        <w:right w:val="nil"/>
        <w:between w:val="nil"/>
        <w:bar w:val="nil"/>
      </w:pBdr>
      <w:spacing w:after="0" w:line="240" w:lineRule="auto"/>
      <w:jc w:val="both"/>
    </w:pPr>
    <w:rPr>
      <w:rFonts w:ascii="Times New Roman" w:eastAsia="Times New Roman" w:hAnsi="Times New Roman" w:cs="Times New Roman"/>
      <w:i/>
      <w:iCs/>
      <w:color w:val="000000"/>
      <w:sz w:val="24"/>
      <w:szCs w:val="24"/>
      <w:u w:color="000000"/>
      <w:bdr w:val="nil"/>
      <w:lang w:val="es-ES_tradnl" w:eastAsia="es-PY"/>
      <w14:textOutline w14:w="0" w14:cap="flat" w14:cmpd="sng" w14:algn="ctr">
        <w14:noFill/>
        <w14:prstDash w14:val="solid"/>
        <w14:bevel/>
      </w14:textOutline>
    </w:rPr>
  </w:style>
  <w:style w:type="character" w:styleId="nfasis">
    <w:name w:val="Emphasis"/>
    <w:basedOn w:val="Fuentedeprrafopredeter"/>
    <w:uiPriority w:val="20"/>
    <w:qFormat/>
    <w:rsid w:val="002F158E"/>
    <w:rPr>
      <w:i/>
      <w:iCs/>
    </w:rPr>
  </w:style>
  <w:style w:type="character" w:styleId="Refdecomentario">
    <w:name w:val="annotation reference"/>
    <w:basedOn w:val="Fuentedeprrafopredeter"/>
    <w:uiPriority w:val="99"/>
    <w:semiHidden/>
    <w:unhideWhenUsed/>
    <w:rsid w:val="00856D78"/>
    <w:rPr>
      <w:sz w:val="16"/>
      <w:szCs w:val="16"/>
    </w:rPr>
  </w:style>
  <w:style w:type="paragraph" w:styleId="Textocomentario">
    <w:name w:val="annotation text"/>
    <w:basedOn w:val="Normal"/>
    <w:link w:val="TextocomentarioCar"/>
    <w:uiPriority w:val="99"/>
    <w:unhideWhenUsed/>
    <w:rsid w:val="00856D78"/>
    <w:pPr>
      <w:spacing w:line="240" w:lineRule="auto"/>
    </w:pPr>
    <w:rPr>
      <w:sz w:val="20"/>
      <w:szCs w:val="20"/>
    </w:rPr>
  </w:style>
  <w:style w:type="character" w:customStyle="1" w:styleId="TextocomentarioCar">
    <w:name w:val="Texto comentario Car"/>
    <w:basedOn w:val="Fuentedeprrafopredeter"/>
    <w:link w:val="Textocomentario"/>
    <w:uiPriority w:val="99"/>
    <w:rsid w:val="00856D78"/>
    <w:rPr>
      <w:rFonts w:ascii="Arial" w:hAnsi="Arial"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856D78"/>
    <w:rPr>
      <w:b/>
      <w:bCs/>
    </w:rPr>
  </w:style>
  <w:style w:type="character" w:customStyle="1" w:styleId="AsuntodelcomentarioCar">
    <w:name w:val="Asunto del comentario Car"/>
    <w:basedOn w:val="TextocomentarioCar"/>
    <w:link w:val="Asuntodelcomentario"/>
    <w:uiPriority w:val="99"/>
    <w:semiHidden/>
    <w:rsid w:val="00856D78"/>
    <w:rPr>
      <w:rFonts w:ascii="Arial" w:hAnsi="Arial" w:cs="Times New Roman"/>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966">
      <w:bodyDiv w:val="1"/>
      <w:marLeft w:val="0"/>
      <w:marRight w:val="0"/>
      <w:marTop w:val="0"/>
      <w:marBottom w:val="0"/>
      <w:divBdr>
        <w:top w:val="none" w:sz="0" w:space="0" w:color="auto"/>
        <w:left w:val="none" w:sz="0" w:space="0" w:color="auto"/>
        <w:bottom w:val="none" w:sz="0" w:space="0" w:color="auto"/>
        <w:right w:val="none" w:sz="0" w:space="0" w:color="auto"/>
      </w:divBdr>
    </w:div>
    <w:div w:id="143158661">
      <w:bodyDiv w:val="1"/>
      <w:marLeft w:val="0"/>
      <w:marRight w:val="0"/>
      <w:marTop w:val="0"/>
      <w:marBottom w:val="0"/>
      <w:divBdr>
        <w:top w:val="none" w:sz="0" w:space="0" w:color="auto"/>
        <w:left w:val="none" w:sz="0" w:space="0" w:color="auto"/>
        <w:bottom w:val="none" w:sz="0" w:space="0" w:color="auto"/>
        <w:right w:val="none" w:sz="0" w:space="0" w:color="auto"/>
      </w:divBdr>
    </w:div>
    <w:div w:id="366679566">
      <w:bodyDiv w:val="1"/>
      <w:marLeft w:val="0"/>
      <w:marRight w:val="0"/>
      <w:marTop w:val="0"/>
      <w:marBottom w:val="0"/>
      <w:divBdr>
        <w:top w:val="none" w:sz="0" w:space="0" w:color="auto"/>
        <w:left w:val="none" w:sz="0" w:space="0" w:color="auto"/>
        <w:bottom w:val="none" w:sz="0" w:space="0" w:color="auto"/>
        <w:right w:val="none" w:sz="0" w:space="0" w:color="auto"/>
      </w:divBdr>
    </w:div>
    <w:div w:id="620959006">
      <w:bodyDiv w:val="1"/>
      <w:marLeft w:val="0"/>
      <w:marRight w:val="0"/>
      <w:marTop w:val="0"/>
      <w:marBottom w:val="0"/>
      <w:divBdr>
        <w:top w:val="none" w:sz="0" w:space="0" w:color="auto"/>
        <w:left w:val="none" w:sz="0" w:space="0" w:color="auto"/>
        <w:bottom w:val="none" w:sz="0" w:space="0" w:color="auto"/>
        <w:right w:val="none" w:sz="0" w:space="0" w:color="auto"/>
      </w:divBdr>
    </w:div>
    <w:div w:id="669258034">
      <w:bodyDiv w:val="1"/>
      <w:marLeft w:val="0"/>
      <w:marRight w:val="0"/>
      <w:marTop w:val="0"/>
      <w:marBottom w:val="0"/>
      <w:divBdr>
        <w:top w:val="none" w:sz="0" w:space="0" w:color="auto"/>
        <w:left w:val="none" w:sz="0" w:space="0" w:color="auto"/>
        <w:bottom w:val="none" w:sz="0" w:space="0" w:color="auto"/>
        <w:right w:val="none" w:sz="0" w:space="0" w:color="auto"/>
      </w:divBdr>
    </w:div>
    <w:div w:id="848102688">
      <w:bodyDiv w:val="1"/>
      <w:marLeft w:val="0"/>
      <w:marRight w:val="0"/>
      <w:marTop w:val="0"/>
      <w:marBottom w:val="0"/>
      <w:divBdr>
        <w:top w:val="none" w:sz="0" w:space="0" w:color="auto"/>
        <w:left w:val="none" w:sz="0" w:space="0" w:color="auto"/>
        <w:bottom w:val="none" w:sz="0" w:space="0" w:color="auto"/>
        <w:right w:val="none" w:sz="0" w:space="0" w:color="auto"/>
      </w:divBdr>
    </w:div>
    <w:div w:id="975569689">
      <w:bodyDiv w:val="1"/>
      <w:marLeft w:val="0"/>
      <w:marRight w:val="0"/>
      <w:marTop w:val="0"/>
      <w:marBottom w:val="0"/>
      <w:divBdr>
        <w:top w:val="none" w:sz="0" w:space="0" w:color="auto"/>
        <w:left w:val="none" w:sz="0" w:space="0" w:color="auto"/>
        <w:bottom w:val="none" w:sz="0" w:space="0" w:color="auto"/>
        <w:right w:val="none" w:sz="0" w:space="0" w:color="auto"/>
      </w:divBdr>
    </w:div>
    <w:div w:id="999769831">
      <w:bodyDiv w:val="1"/>
      <w:marLeft w:val="0"/>
      <w:marRight w:val="0"/>
      <w:marTop w:val="0"/>
      <w:marBottom w:val="0"/>
      <w:divBdr>
        <w:top w:val="none" w:sz="0" w:space="0" w:color="auto"/>
        <w:left w:val="none" w:sz="0" w:space="0" w:color="auto"/>
        <w:bottom w:val="none" w:sz="0" w:space="0" w:color="auto"/>
        <w:right w:val="none" w:sz="0" w:space="0" w:color="auto"/>
      </w:divBdr>
    </w:div>
    <w:div w:id="1053432916">
      <w:bodyDiv w:val="1"/>
      <w:marLeft w:val="0"/>
      <w:marRight w:val="0"/>
      <w:marTop w:val="0"/>
      <w:marBottom w:val="0"/>
      <w:divBdr>
        <w:top w:val="none" w:sz="0" w:space="0" w:color="auto"/>
        <w:left w:val="none" w:sz="0" w:space="0" w:color="auto"/>
        <w:bottom w:val="none" w:sz="0" w:space="0" w:color="auto"/>
        <w:right w:val="none" w:sz="0" w:space="0" w:color="auto"/>
      </w:divBdr>
    </w:div>
    <w:div w:id="1316300451">
      <w:bodyDiv w:val="1"/>
      <w:marLeft w:val="0"/>
      <w:marRight w:val="0"/>
      <w:marTop w:val="0"/>
      <w:marBottom w:val="0"/>
      <w:divBdr>
        <w:top w:val="none" w:sz="0" w:space="0" w:color="auto"/>
        <w:left w:val="none" w:sz="0" w:space="0" w:color="auto"/>
        <w:bottom w:val="none" w:sz="0" w:space="0" w:color="auto"/>
        <w:right w:val="none" w:sz="0" w:space="0" w:color="auto"/>
      </w:divBdr>
    </w:div>
    <w:div w:id="1373575148">
      <w:bodyDiv w:val="1"/>
      <w:marLeft w:val="0"/>
      <w:marRight w:val="0"/>
      <w:marTop w:val="0"/>
      <w:marBottom w:val="0"/>
      <w:divBdr>
        <w:top w:val="none" w:sz="0" w:space="0" w:color="auto"/>
        <w:left w:val="none" w:sz="0" w:space="0" w:color="auto"/>
        <w:bottom w:val="none" w:sz="0" w:space="0" w:color="auto"/>
        <w:right w:val="none" w:sz="0" w:space="0" w:color="auto"/>
      </w:divBdr>
      <w:divsChild>
        <w:div w:id="2059352147">
          <w:marLeft w:val="0"/>
          <w:marRight w:val="0"/>
          <w:marTop w:val="0"/>
          <w:marBottom w:val="0"/>
          <w:divBdr>
            <w:top w:val="none" w:sz="0" w:space="0" w:color="auto"/>
            <w:left w:val="none" w:sz="0" w:space="0" w:color="auto"/>
            <w:bottom w:val="none" w:sz="0" w:space="0" w:color="auto"/>
            <w:right w:val="none" w:sz="0" w:space="0" w:color="auto"/>
          </w:divBdr>
        </w:div>
      </w:divsChild>
    </w:div>
    <w:div w:id="1425299364">
      <w:bodyDiv w:val="1"/>
      <w:marLeft w:val="0"/>
      <w:marRight w:val="0"/>
      <w:marTop w:val="0"/>
      <w:marBottom w:val="0"/>
      <w:divBdr>
        <w:top w:val="none" w:sz="0" w:space="0" w:color="auto"/>
        <w:left w:val="none" w:sz="0" w:space="0" w:color="auto"/>
        <w:bottom w:val="none" w:sz="0" w:space="0" w:color="auto"/>
        <w:right w:val="none" w:sz="0" w:space="0" w:color="auto"/>
      </w:divBdr>
    </w:div>
    <w:div w:id="1499152099">
      <w:bodyDiv w:val="1"/>
      <w:marLeft w:val="0"/>
      <w:marRight w:val="0"/>
      <w:marTop w:val="0"/>
      <w:marBottom w:val="0"/>
      <w:divBdr>
        <w:top w:val="none" w:sz="0" w:space="0" w:color="auto"/>
        <w:left w:val="none" w:sz="0" w:space="0" w:color="auto"/>
        <w:bottom w:val="none" w:sz="0" w:space="0" w:color="auto"/>
        <w:right w:val="none" w:sz="0" w:space="0" w:color="auto"/>
      </w:divBdr>
    </w:div>
    <w:div w:id="1567913237">
      <w:bodyDiv w:val="1"/>
      <w:marLeft w:val="0"/>
      <w:marRight w:val="0"/>
      <w:marTop w:val="0"/>
      <w:marBottom w:val="0"/>
      <w:divBdr>
        <w:top w:val="none" w:sz="0" w:space="0" w:color="auto"/>
        <w:left w:val="none" w:sz="0" w:space="0" w:color="auto"/>
        <w:bottom w:val="none" w:sz="0" w:space="0" w:color="auto"/>
        <w:right w:val="none" w:sz="0" w:space="0" w:color="auto"/>
      </w:divBdr>
    </w:div>
    <w:div w:id="1783647618">
      <w:bodyDiv w:val="1"/>
      <w:marLeft w:val="0"/>
      <w:marRight w:val="0"/>
      <w:marTop w:val="0"/>
      <w:marBottom w:val="0"/>
      <w:divBdr>
        <w:top w:val="none" w:sz="0" w:space="0" w:color="auto"/>
        <w:left w:val="none" w:sz="0" w:space="0" w:color="auto"/>
        <w:bottom w:val="none" w:sz="0" w:space="0" w:color="auto"/>
        <w:right w:val="none" w:sz="0" w:space="0" w:color="auto"/>
      </w:divBdr>
    </w:div>
    <w:div w:id="1834057168">
      <w:bodyDiv w:val="1"/>
      <w:marLeft w:val="0"/>
      <w:marRight w:val="0"/>
      <w:marTop w:val="0"/>
      <w:marBottom w:val="0"/>
      <w:divBdr>
        <w:top w:val="none" w:sz="0" w:space="0" w:color="auto"/>
        <w:left w:val="none" w:sz="0" w:space="0" w:color="auto"/>
        <w:bottom w:val="none" w:sz="0" w:space="0" w:color="auto"/>
        <w:right w:val="none" w:sz="0" w:space="0" w:color="auto"/>
      </w:divBdr>
    </w:div>
    <w:div w:id="1998264132">
      <w:bodyDiv w:val="1"/>
      <w:marLeft w:val="0"/>
      <w:marRight w:val="0"/>
      <w:marTop w:val="0"/>
      <w:marBottom w:val="0"/>
      <w:divBdr>
        <w:top w:val="none" w:sz="0" w:space="0" w:color="auto"/>
        <w:left w:val="none" w:sz="0" w:space="0" w:color="auto"/>
        <w:bottom w:val="none" w:sz="0" w:space="0" w:color="auto"/>
        <w:right w:val="none" w:sz="0" w:space="0" w:color="auto"/>
      </w:divBdr>
    </w:div>
    <w:div w:id="2092189850">
      <w:bodyDiv w:val="1"/>
      <w:marLeft w:val="0"/>
      <w:marRight w:val="0"/>
      <w:marTop w:val="0"/>
      <w:marBottom w:val="0"/>
      <w:divBdr>
        <w:top w:val="none" w:sz="0" w:space="0" w:color="auto"/>
        <w:left w:val="none" w:sz="0" w:space="0" w:color="auto"/>
        <w:bottom w:val="none" w:sz="0" w:space="0" w:color="auto"/>
        <w:right w:val="none" w:sz="0" w:space="0" w:color="auto"/>
      </w:divBdr>
    </w:div>
    <w:div w:id="210491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com.gov.p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acom@conacom.gov.py" TargetMode="External"/><Relationship Id="rId4" Type="http://schemas.openxmlformats.org/officeDocument/2006/relationships/settings" Target="settings.xml"/><Relationship Id="rId9" Type="http://schemas.openxmlformats.org/officeDocument/2006/relationships/hyperlink" Target="mailto:promocion@conacom.gov.p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7944E96-4C38-4E72-ADF1-6EAC0A52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12770</Words>
  <Characters>70237</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Ramirez</dc:creator>
  <cp:keywords/>
  <dc:description/>
  <cp:lastModifiedBy>Pablo Ramirez</cp:lastModifiedBy>
  <cp:revision>3</cp:revision>
  <cp:lastPrinted>2024-02-23T13:53:00Z</cp:lastPrinted>
  <dcterms:created xsi:type="dcterms:W3CDTF">2024-03-07T13:36:00Z</dcterms:created>
  <dcterms:modified xsi:type="dcterms:W3CDTF">2024-03-07T13:49:00Z</dcterms:modified>
</cp:coreProperties>
</file>